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998" w:rsidRDefault="00B02998" w:rsidP="00B02998">
      <w:pPr>
        <w:suppressLineNumbers/>
        <w:jc w:val="center"/>
        <w:rPr>
          <w:rtl/>
        </w:rPr>
      </w:pPr>
      <w:bookmarkStart w:id="0" w:name="_GoBack"/>
      <w:bookmarkEnd w:id="0"/>
      <w:r>
        <w:rPr>
          <w:rFonts w:cs="FrankRuehl"/>
          <w:sz w:val="28"/>
          <w:szCs w:val="28"/>
        </w:rPr>
        <w:drawing>
          <wp:inline distT="0" distB="0" distL="0" distR="0" wp14:anchorId="7C7567A1" wp14:editId="3F15739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B02998" w:rsidRDefault="00B02998" w:rsidP="00B02998">
      <w:pPr>
        <w:suppressLineNumbers/>
        <w:jc w:val="center"/>
        <w:rPr>
          <w:rtl/>
        </w:rPr>
      </w:pPr>
    </w:p>
    <w:sdt>
      <w:sdtPr>
        <w:rPr>
          <w:rFonts w:ascii="Tahoma" w:hAnsi="Tahoma"/>
          <w:color w:val="000080"/>
          <w:sz w:val="32"/>
          <w:szCs w:val="32"/>
          <w:rtl/>
        </w:rPr>
        <w:alias w:val="1174"/>
        <w:tag w:val="1174"/>
        <w:id w:val="-1585920285"/>
        <w:text w:multiLine="1"/>
      </w:sdtPr>
      <w:sdtEndPr/>
      <w:sdtContent>
        <w:p w:rsidR="00B02998" w:rsidRDefault="00B02998" w:rsidP="00B02998">
          <w:pPr>
            <w:suppressLineNumbers/>
            <w:jc w:val="center"/>
            <w:rPr>
              <w:rtl/>
            </w:rPr>
          </w:pPr>
          <w:r w:rsidRPr="00F038D8">
            <w:rPr>
              <w:rFonts w:ascii="Tahoma" w:hAnsi="Tahoma"/>
              <w:color w:val="000080"/>
              <w:sz w:val="32"/>
              <w:szCs w:val="32"/>
              <w:rtl/>
            </w:rPr>
            <w:t>בית המשפט המחוזי בבאר שבע</w:t>
          </w:r>
        </w:p>
      </w:sdtContent>
    </w:sdt>
    <w:p w:rsidR="00B02998" w:rsidRDefault="00B02998" w:rsidP="00B02998">
      <w:pPr>
        <w:suppressLineNumbers/>
        <w:rPr>
          <w:rtl/>
        </w:rPr>
      </w:pPr>
    </w:p>
    <w:p w:rsidR="00B02998" w:rsidRDefault="00B02998" w:rsidP="00B02998">
      <w:pPr>
        <w:suppressLineNumbers/>
        <w:rPr>
          <w:rtl/>
        </w:rPr>
      </w:pPr>
    </w:p>
    <w:p w:rsidR="00B02998" w:rsidRDefault="00B02998" w:rsidP="00B02998">
      <w:pPr>
        <w:suppressLineNumbers/>
        <w:rPr>
          <w:rtl/>
        </w:rPr>
      </w:pPr>
    </w:p>
    <w:p w:rsidR="00B02998" w:rsidRDefault="00ED467C" w:rsidP="00AC6E33">
      <w:pPr>
        <w:suppressLineNumbers/>
        <w:rPr>
          <w:rtl/>
        </w:rPr>
      </w:pPr>
      <w:sdt>
        <w:sdtPr>
          <w:rPr>
            <w:rtl/>
          </w:rPr>
          <w:alias w:val="1170"/>
          <w:tag w:val="1170"/>
          <w:id w:val="1066377040"/>
          <w:text w:multiLine="1"/>
        </w:sdtPr>
        <w:sdtEndPr/>
        <w:sdtContent>
          <w:r w:rsidR="00B02998">
            <w:rPr>
              <w:b/>
              <w:bCs/>
              <w:noProof w:val="0"/>
              <w:sz w:val="26"/>
              <w:szCs w:val="26"/>
              <w:rtl/>
            </w:rPr>
            <w:t>רמ"ש</w:t>
          </w:r>
        </w:sdtContent>
      </w:sdt>
      <w:r w:rsidR="00B02998">
        <w:rPr>
          <w:b/>
          <w:bCs/>
          <w:noProof w:val="0"/>
          <w:sz w:val="26"/>
          <w:szCs w:val="26"/>
          <w:rtl/>
        </w:rPr>
        <w:t xml:space="preserve"> </w:t>
      </w:r>
      <w:sdt>
        <w:sdtPr>
          <w:rPr>
            <w:rtl/>
          </w:rPr>
          <w:alias w:val="1171"/>
          <w:tag w:val="1171"/>
          <w:id w:val="257034231"/>
          <w:text w:multiLine="1"/>
        </w:sdtPr>
        <w:sdtEndPr/>
        <w:sdtContent>
          <w:r w:rsidR="00B02998">
            <w:rPr>
              <w:b/>
              <w:bCs/>
              <w:noProof w:val="0"/>
              <w:sz w:val="26"/>
              <w:szCs w:val="26"/>
              <w:rtl/>
            </w:rPr>
            <w:t>78895-09-24</w:t>
          </w:r>
        </w:sdtContent>
      </w:sdt>
      <w:r w:rsidR="00B02998">
        <w:rPr>
          <w:b/>
          <w:bCs/>
          <w:noProof w:val="0"/>
          <w:sz w:val="26"/>
          <w:szCs w:val="26"/>
          <w:rtl/>
        </w:rPr>
        <w:t xml:space="preserve"> </w:t>
      </w:r>
      <w:sdt>
        <w:sdtPr>
          <w:rPr>
            <w:b/>
            <w:bCs/>
            <w:noProof w:val="0"/>
            <w:sz w:val="26"/>
            <w:szCs w:val="26"/>
            <w:rtl/>
          </w:rPr>
          <w:alias w:val="3154"/>
          <w:tag w:val="3154"/>
          <w:id w:val="-1714497037"/>
          <w:placeholder>
            <w:docPart w:val="B68C5AB0224C47D79F857DEF98CD55EE"/>
          </w:placeholder>
          <w:text w:multiLine="1"/>
        </w:sdtPr>
        <w:sdtEndPr/>
        <w:sdtContent>
          <w:r w:rsidR="00AC6E33">
            <w:rPr>
              <w:rFonts w:hint="cs"/>
              <w:b/>
              <w:bCs/>
              <w:noProof w:val="0"/>
              <w:sz w:val="26"/>
              <w:szCs w:val="26"/>
              <w:rtl/>
            </w:rPr>
            <w:t xml:space="preserve">פלוני </w:t>
          </w:r>
          <w:r w:rsidR="00B02998">
            <w:rPr>
              <w:b/>
              <w:bCs/>
              <w:noProof w:val="0"/>
              <w:sz w:val="26"/>
              <w:szCs w:val="26"/>
              <w:rtl/>
            </w:rPr>
            <w:t xml:space="preserve">נ' </w:t>
          </w:r>
          <w:r w:rsidR="00AC6E33">
            <w:rPr>
              <w:rFonts w:hint="cs"/>
              <w:b/>
              <w:bCs/>
              <w:noProof w:val="0"/>
              <w:sz w:val="26"/>
              <w:szCs w:val="26"/>
              <w:rtl/>
            </w:rPr>
            <w:t xml:space="preserve">פלונית </w:t>
          </w:r>
        </w:sdtContent>
      </w:sdt>
    </w:p>
    <w:p w:rsidR="00B02998" w:rsidRDefault="00B02998" w:rsidP="00B02998">
      <w:pPr>
        <w:suppressLineNumbers/>
        <w:rPr>
          <w:rtl/>
        </w:rPr>
      </w:pPr>
    </w:p>
    <w:p w:rsidR="00B02998" w:rsidRDefault="00B02998" w:rsidP="00B02998">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02998" w:rsidTr="001C5493">
        <w:trPr>
          <w:jc w:val="center"/>
        </w:trPr>
        <w:tc>
          <w:tcPr>
            <w:tcW w:w="743" w:type="dxa"/>
          </w:tcPr>
          <w:p w:rsidR="00B02998" w:rsidRPr="008A59EE" w:rsidRDefault="00B02998" w:rsidP="001C5493">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B02998" w:rsidRPr="008A59EE" w:rsidRDefault="00B02998" w:rsidP="001C5493">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B02998" w:rsidRPr="008A59EE" w:rsidRDefault="00B02998" w:rsidP="001C5493">
            <w:pPr>
              <w:suppressLineNumbers/>
              <w:rPr>
                <w:sz w:val="26"/>
                <w:szCs w:val="26"/>
              </w:rPr>
            </w:pPr>
          </w:p>
        </w:tc>
      </w:tr>
      <w:tr w:rsidR="00B02998" w:rsidTr="001C5493">
        <w:trPr>
          <w:jc w:val="center"/>
        </w:trPr>
        <w:tc>
          <w:tcPr>
            <w:tcW w:w="743" w:type="dxa"/>
          </w:tcPr>
          <w:p w:rsidR="00B02998" w:rsidRDefault="00B02998" w:rsidP="001C5493">
            <w:pPr>
              <w:suppressLineNumbers/>
              <w:jc w:val="both"/>
              <w:rPr>
                <w:rFonts w:ascii="Arial" w:hAnsi="Arial"/>
                <w:b/>
                <w:bCs/>
                <w:sz w:val="26"/>
                <w:szCs w:val="26"/>
              </w:rPr>
            </w:pPr>
          </w:p>
        </w:tc>
        <w:tc>
          <w:tcPr>
            <w:tcW w:w="8077" w:type="dxa"/>
            <w:gridSpan w:val="2"/>
          </w:tcPr>
          <w:p w:rsidR="00B02998" w:rsidRDefault="00B02998" w:rsidP="001C5493">
            <w:pPr>
              <w:suppressLineNumbers/>
              <w:rPr>
                <w:sz w:val="26"/>
                <w:szCs w:val="26"/>
                <w:rtl/>
              </w:rPr>
            </w:pPr>
          </w:p>
        </w:tc>
      </w:tr>
      <w:tr w:rsidR="00B02998" w:rsidTr="001C5493">
        <w:trPr>
          <w:jc w:val="center"/>
        </w:trPr>
        <w:tc>
          <w:tcPr>
            <w:tcW w:w="3249" w:type="dxa"/>
            <w:gridSpan w:val="2"/>
          </w:tcPr>
          <w:p w:rsidR="00B02998" w:rsidRDefault="00B02998" w:rsidP="001C5493">
            <w:pPr>
              <w:suppressLineNumbers/>
            </w:pPr>
          </w:p>
          <w:sdt>
            <w:sdtPr>
              <w:rPr>
                <w:rtl/>
              </w:rPr>
              <w:alias w:val="1180"/>
              <w:tag w:val="1180"/>
              <w:id w:val="637458750"/>
              <w:text w:multiLine="1"/>
            </w:sdtPr>
            <w:sdtEndPr/>
            <w:sdtContent>
              <w:p w:rsidR="00B02998" w:rsidRDefault="00B02998" w:rsidP="001C5493">
                <w:pPr>
                  <w:suppressLineNumbers/>
                  <w:rPr>
                    <w:rFonts w:ascii="Arial" w:hAnsi="Arial"/>
                    <w:b/>
                    <w:bCs/>
                    <w:noProof w:val="0"/>
                    <w:sz w:val="26"/>
                    <w:szCs w:val="26"/>
                    <w:rtl/>
                  </w:rPr>
                </w:pPr>
                <w:r>
                  <w:rPr>
                    <w:rFonts w:ascii="Arial" w:hAnsi="Arial"/>
                    <w:b/>
                    <w:bCs/>
                    <w:noProof w:val="0"/>
                    <w:sz w:val="26"/>
                    <w:szCs w:val="26"/>
                    <w:rtl/>
                  </w:rPr>
                  <w:t>המבקש</w:t>
                </w:r>
              </w:p>
            </w:sdtContent>
          </w:sdt>
        </w:tc>
        <w:tc>
          <w:tcPr>
            <w:tcW w:w="5571" w:type="dxa"/>
          </w:tcPr>
          <w:p w:rsidR="00B02998" w:rsidRDefault="00B02998" w:rsidP="001C5493">
            <w:pPr>
              <w:suppressLineNumbers/>
              <w:rPr>
                <w:rtl/>
              </w:rPr>
            </w:pPr>
          </w:p>
          <w:p w:rsidR="00B02998" w:rsidRDefault="00ED467C" w:rsidP="00AC6E33">
            <w:pPr>
              <w:suppressLineNumbers/>
              <w:rPr>
                <w:b/>
                <w:bCs/>
                <w:noProof w:val="0"/>
                <w:sz w:val="26"/>
                <w:szCs w:val="26"/>
                <w:rtl/>
              </w:rPr>
            </w:pPr>
            <w:sdt>
              <w:sdtPr>
                <w:rPr>
                  <w:rFonts w:ascii="Arial" w:hAnsi="Arial"/>
                  <w:b/>
                  <w:bCs/>
                  <w:noProof w:val="0"/>
                  <w:sz w:val="26"/>
                  <w:szCs w:val="26"/>
                  <w:rtl/>
                </w:rPr>
                <w:alias w:val="3151"/>
                <w:tag w:val="3151"/>
                <w:id w:val="1166218717"/>
                <w:placeholder>
                  <w:docPart w:val="60D57B666A1443F9A21154945625748B"/>
                </w:placeholder>
                <w:text w:multiLine="1"/>
              </w:sdtPr>
              <w:sdtEndPr/>
              <w:sdtContent>
                <w:r w:rsidR="00AC6E33">
                  <w:rPr>
                    <w:rFonts w:ascii="Arial" w:hAnsi="Arial" w:hint="cs"/>
                    <w:b/>
                    <w:bCs/>
                    <w:noProof w:val="0"/>
                    <w:sz w:val="26"/>
                    <w:szCs w:val="26"/>
                    <w:rtl/>
                  </w:rPr>
                  <w:t>פלוני</w:t>
                </w:r>
                <w:r w:rsidR="00B02998">
                  <w:rPr>
                    <w:rFonts w:ascii="Arial" w:hAnsi="Arial"/>
                    <w:b/>
                    <w:bCs/>
                    <w:noProof w:val="0"/>
                    <w:sz w:val="26"/>
                    <w:szCs w:val="26"/>
                    <w:rtl/>
                  </w:rPr>
                  <w:br/>
                  <w:t>באמצעות ב"כ עו"ד ירדן כהן</w:t>
                </w:r>
              </w:sdtContent>
            </w:sdt>
          </w:p>
        </w:tc>
      </w:tr>
      <w:tr w:rsidR="00B02998" w:rsidTr="001C5493">
        <w:trPr>
          <w:jc w:val="center"/>
        </w:trPr>
        <w:tc>
          <w:tcPr>
            <w:tcW w:w="8820" w:type="dxa"/>
            <w:gridSpan w:val="3"/>
          </w:tcPr>
          <w:p w:rsidR="00B02998" w:rsidRDefault="00B02998" w:rsidP="001C5493">
            <w:pPr>
              <w:suppressLineNumbers/>
              <w:rPr>
                <w:rFonts w:ascii="Arial" w:hAnsi="Arial"/>
                <w:b/>
                <w:bCs/>
                <w:noProof w:val="0"/>
                <w:sz w:val="26"/>
                <w:szCs w:val="26"/>
              </w:rPr>
            </w:pPr>
          </w:p>
          <w:p w:rsidR="00B02998" w:rsidRDefault="00B02998" w:rsidP="001C5493">
            <w:pPr>
              <w:suppressLineNumbers/>
              <w:jc w:val="center"/>
              <w:rPr>
                <w:rFonts w:ascii="Arial" w:hAnsi="Arial"/>
                <w:b/>
                <w:bCs/>
                <w:noProof w:val="0"/>
                <w:sz w:val="26"/>
                <w:szCs w:val="26"/>
                <w:rtl/>
              </w:rPr>
            </w:pPr>
          </w:p>
        </w:tc>
      </w:tr>
      <w:tr w:rsidR="00B02998" w:rsidTr="001C5493">
        <w:trPr>
          <w:jc w:val="center"/>
        </w:trPr>
        <w:tc>
          <w:tcPr>
            <w:tcW w:w="3249" w:type="dxa"/>
            <w:gridSpan w:val="2"/>
            <w:hideMark/>
          </w:tcPr>
          <w:p w:rsidR="00B02998" w:rsidRDefault="00ED467C" w:rsidP="001C5493">
            <w:pPr>
              <w:suppressLineNumbers/>
              <w:rPr>
                <w:rFonts w:ascii="Arial" w:hAnsi="Arial"/>
                <w:b/>
                <w:bCs/>
                <w:noProof w:val="0"/>
                <w:sz w:val="26"/>
                <w:szCs w:val="26"/>
              </w:rPr>
            </w:pPr>
            <w:sdt>
              <w:sdtPr>
                <w:rPr>
                  <w:rtl/>
                </w:rPr>
                <w:alias w:val="1184"/>
                <w:tag w:val="1184"/>
                <w:id w:val="-340621022"/>
                <w:text w:multiLine="1"/>
              </w:sdtPr>
              <w:sdtEndPr/>
              <w:sdtContent>
                <w:r w:rsidR="00B02998">
                  <w:rPr>
                    <w:rFonts w:ascii="Arial" w:hAnsi="Arial"/>
                    <w:b/>
                    <w:bCs/>
                    <w:noProof w:val="0"/>
                    <w:sz w:val="26"/>
                    <w:szCs w:val="26"/>
                    <w:rtl/>
                  </w:rPr>
                  <w:t>המשיבה</w:t>
                </w:r>
              </w:sdtContent>
            </w:sdt>
          </w:p>
        </w:tc>
        <w:tc>
          <w:tcPr>
            <w:tcW w:w="5571" w:type="dxa"/>
            <w:hideMark/>
          </w:tcPr>
          <w:p w:rsidR="00B02998" w:rsidRDefault="00ED467C" w:rsidP="00AC6E33">
            <w:pPr>
              <w:suppressLineNumbers/>
              <w:rPr>
                <w:rFonts w:ascii="Arial" w:hAnsi="Arial"/>
                <w:b/>
                <w:bCs/>
                <w:noProof w:val="0"/>
                <w:sz w:val="26"/>
                <w:szCs w:val="26"/>
              </w:rPr>
            </w:pPr>
            <w:sdt>
              <w:sdtPr>
                <w:rPr>
                  <w:rFonts w:ascii="Arial" w:hAnsi="Arial"/>
                  <w:b/>
                  <w:bCs/>
                  <w:noProof w:val="0"/>
                  <w:sz w:val="26"/>
                  <w:szCs w:val="26"/>
                  <w:rtl/>
                </w:rPr>
                <w:alias w:val="3152"/>
                <w:tag w:val="3152"/>
                <w:id w:val="-1346628691"/>
                <w:placeholder>
                  <w:docPart w:val="391CB0C0F1DB46FB91FBB9F0CCCC39C5"/>
                </w:placeholder>
                <w:text w:multiLine="1"/>
              </w:sdtPr>
              <w:sdtEndPr/>
              <w:sdtContent>
                <w:r w:rsidR="00AC6E33">
                  <w:rPr>
                    <w:rFonts w:ascii="Arial" w:hAnsi="Arial" w:hint="cs"/>
                    <w:b/>
                    <w:bCs/>
                    <w:noProof w:val="0"/>
                    <w:sz w:val="26"/>
                    <w:szCs w:val="26"/>
                    <w:rtl/>
                  </w:rPr>
                  <w:t>פלונית</w:t>
                </w:r>
                <w:r w:rsidR="00B02998">
                  <w:rPr>
                    <w:rFonts w:ascii="Arial" w:hAnsi="Arial"/>
                    <w:b/>
                    <w:bCs/>
                    <w:noProof w:val="0"/>
                    <w:sz w:val="26"/>
                    <w:szCs w:val="26"/>
                    <w:rtl/>
                  </w:rPr>
                  <w:br/>
                  <w:t>באמצעות ב"כ עו"ד אור ליסקר</w:t>
                </w:r>
              </w:sdtContent>
            </w:sdt>
          </w:p>
        </w:tc>
      </w:tr>
      <w:tr w:rsidR="00B02998" w:rsidTr="001C5493">
        <w:trPr>
          <w:jc w:val="center"/>
        </w:trPr>
        <w:tc>
          <w:tcPr>
            <w:tcW w:w="8820" w:type="dxa"/>
            <w:gridSpan w:val="3"/>
          </w:tcPr>
          <w:p w:rsidR="00B02998" w:rsidRDefault="00B02998" w:rsidP="001C5493">
            <w:pPr>
              <w:suppressLineNumbers/>
              <w:rPr>
                <w:rtl/>
              </w:rPr>
            </w:pPr>
          </w:p>
          <w:p w:rsidR="00B02998" w:rsidRDefault="00B02998" w:rsidP="001C5493">
            <w:pPr>
              <w:suppressLineNumbers/>
            </w:pPr>
          </w:p>
          <w:p w:rsidR="00B02998" w:rsidRDefault="00B02998" w:rsidP="001C5493">
            <w:pPr>
              <w:suppressLineNumbers/>
              <w:rPr>
                <w:rtl/>
              </w:rPr>
            </w:pPr>
          </w:p>
        </w:tc>
      </w:tr>
      <w:tr w:rsidR="00B02998" w:rsidTr="001C5493">
        <w:trPr>
          <w:jc w:val="center"/>
        </w:trPr>
        <w:tc>
          <w:tcPr>
            <w:tcW w:w="8820" w:type="dxa"/>
            <w:gridSpan w:val="3"/>
          </w:tcPr>
          <w:p w:rsidR="00B02998" w:rsidRDefault="00B02998" w:rsidP="001C5493">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B02998" w:rsidRDefault="00B02998" w:rsidP="001C5493">
            <w:pPr>
              <w:bidi w:val="0"/>
              <w:jc w:val="center"/>
              <w:rPr>
                <w:rFonts w:ascii="Arial" w:hAnsi="Arial"/>
                <w:b/>
                <w:bCs/>
                <w:noProof w:val="0"/>
                <w:sz w:val="28"/>
                <w:szCs w:val="28"/>
                <w:u w:val="single"/>
                <w:rtl/>
              </w:rPr>
            </w:pPr>
          </w:p>
        </w:tc>
      </w:tr>
    </w:tbl>
    <w:p w:rsidR="00B02998" w:rsidRDefault="00B02998" w:rsidP="00B02998">
      <w:pPr>
        <w:pStyle w:val="a4"/>
        <w:spacing w:line="360" w:lineRule="auto"/>
        <w:ind w:left="85"/>
        <w:jc w:val="both"/>
        <w:rPr>
          <w:rFonts w:ascii="Arial" w:hAnsi="Arial"/>
          <w:noProof w:val="0"/>
          <w:rtl/>
        </w:rPr>
      </w:pPr>
      <w:bookmarkStart w:id="1" w:name="NGCSBookmark"/>
      <w:bookmarkEnd w:id="1"/>
    </w:p>
    <w:p w:rsidR="00B02998" w:rsidRDefault="00B02998" w:rsidP="00B02998">
      <w:pPr>
        <w:pStyle w:val="a4"/>
        <w:spacing w:line="360" w:lineRule="auto"/>
        <w:ind w:left="85"/>
        <w:jc w:val="both"/>
        <w:rPr>
          <w:rFonts w:ascii="Arial" w:hAnsi="Arial"/>
          <w:noProof w:val="0"/>
        </w:rPr>
      </w:pPr>
      <w:r>
        <w:rPr>
          <w:rFonts w:ascii="Arial" w:hAnsi="Arial"/>
          <w:noProof w:val="0"/>
          <w:rtl/>
        </w:rPr>
        <w:t>בקשת רשות הערעור שלפנינו מכוונת כנגד החלטת בית המשפט לענייני משפחה באילת (כב' השופט סמי ישראל) מיום 20.09.2024 בגדרה נקבע, כי מועד הקרע ביחסי הצדדים, כמשמעותו בחוק יחסי ממון בין בני זוג, תשל"ג-1973, הוא 28.03.2024 – יום הגשת התביעה הרכושית ע"י המשיבה; בנוסף מונה אקטואר, נקבע מראש שכר טרחתו ובית המשפט הורה, כי  הצדדים יישאו בו בחלקים שווים; כן נקבע, כי בשים לב לפער בין הכנסות הצדדים הם יישאו בהוצאות החזקת הבית ובהחזרי המשכנתא החודשיים בחלקים שווים עד למועד הקרע שנקבע, ואילו ממועד הקרע ואילך בשיעור של 65% ע"י המבקש ו-35% ע"י המשיבה.</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בבקשת רשות הערעור קובל המבקש על שלושת ראשי ההחלטה האמורים.   </w:t>
      </w:r>
    </w:p>
    <w:p w:rsidR="00B02998" w:rsidRDefault="00B02998" w:rsidP="00B02998">
      <w:pPr>
        <w:pStyle w:val="a4"/>
        <w:spacing w:line="360" w:lineRule="auto"/>
        <w:ind w:left="85"/>
        <w:jc w:val="both"/>
        <w:rPr>
          <w:rFonts w:ascii="Arial" w:hAnsi="Arial"/>
          <w:noProof w:val="0"/>
          <w:rtl/>
        </w:rPr>
      </w:pPr>
    </w:p>
    <w:p w:rsidR="00B02998" w:rsidRDefault="00B02998" w:rsidP="00B02998">
      <w:pPr>
        <w:spacing w:after="160" w:line="360" w:lineRule="auto"/>
        <w:ind w:hanging="57"/>
        <w:contextualSpacing/>
        <w:jc w:val="both"/>
        <w:rPr>
          <w:rFonts w:ascii="David" w:eastAsia="Calibri" w:hAnsi="David"/>
          <w:b/>
          <w:bCs/>
          <w:noProof w:val="0"/>
          <w:sz w:val="26"/>
          <w:szCs w:val="26"/>
          <w:u w:val="single"/>
          <w:rtl/>
        </w:rPr>
      </w:pPr>
      <w:r>
        <w:rPr>
          <w:rFonts w:ascii="David" w:eastAsia="Calibri" w:hAnsi="David"/>
          <w:b/>
          <w:bCs/>
          <w:noProof w:val="0"/>
          <w:sz w:val="26"/>
          <w:szCs w:val="26"/>
          <w:u w:val="single"/>
          <w:rtl/>
        </w:rPr>
        <w:t>רקע עובדתי בתמצית</w:t>
      </w:r>
    </w:p>
    <w:p w:rsidR="00B02998" w:rsidRDefault="00B02998" w:rsidP="00B02998">
      <w:pPr>
        <w:pStyle w:val="a4"/>
        <w:spacing w:line="360" w:lineRule="auto"/>
        <w:ind w:left="85"/>
        <w:jc w:val="both"/>
        <w:rPr>
          <w:rFonts w:ascii="Arial" w:hAnsi="Arial"/>
          <w:noProof w:val="0"/>
        </w:rPr>
      </w:pPr>
      <w:r>
        <w:rPr>
          <w:rFonts w:ascii="Arial" w:hAnsi="Arial"/>
          <w:noProof w:val="0"/>
          <w:rtl/>
        </w:rPr>
        <w:t>הצדדים הם בני זוג לשעבר, שנישאו זה לזו כדת משה וישראל בשנת 1998 והתגרשו בגט פיטורין בחודש יוני השנה; מנישואיהם נולדו להם ארבעה ילדים, שכיום רק אחת מהם קטינה. נישואי הצדדים נקלעו למשבר בעקבותיו פנתה המשיבה לבית המשפט קמא ונקטה בהליכים, ואילו המבקש פנה בחודש מאי השנה לבית הדין הרבני והגיש תביעת גירושין.</w:t>
      </w:r>
    </w:p>
    <w:p w:rsidR="00B02998" w:rsidRDefault="00B02998" w:rsidP="00B02998">
      <w:pPr>
        <w:pStyle w:val="a4"/>
        <w:ind w:left="794"/>
        <w:jc w:val="both"/>
        <w:rPr>
          <w:rFonts w:ascii="Arial" w:hAnsi="Arial"/>
          <w:noProof w:val="0"/>
        </w:rPr>
      </w:pPr>
    </w:p>
    <w:p w:rsidR="00B02998" w:rsidRDefault="00B02998" w:rsidP="00B02998">
      <w:pPr>
        <w:pStyle w:val="a4"/>
        <w:spacing w:line="360" w:lineRule="auto"/>
        <w:ind w:left="85"/>
        <w:jc w:val="both"/>
        <w:rPr>
          <w:rFonts w:ascii="Arial" w:hAnsi="Arial"/>
          <w:noProof w:val="0"/>
        </w:rPr>
      </w:pPr>
      <w:r>
        <w:rPr>
          <w:rFonts w:ascii="Arial" w:hAnsi="Arial"/>
          <w:noProof w:val="0"/>
          <w:rtl/>
        </w:rPr>
        <w:t>עניינו של ההליך בגדרו ניתנה ההחלטה מושא הבקשה שלפנינו הוא רכושי, והוא נפתח עם הגשת תובענה ע"י המשיבה בגדרה עתרה לסעדים של פירוק שיתוף בבית הצדדים, לאיזון משאבים ולפסיקת מזונות משקמים עבורה.</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טרם הגשת התובענה האמורה, ביום 16.11.2023, פנתה המשיבה לבית המשפט קמא והגישה, כמתחייב בדין, בקשה ליישוב סכסוך. הליך יישוב הסכסוך לא נשא פרי ונסגר, ובחודש מרץ השנה הגישה התובענה הרכושית.</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ביום 10.09.2024 התקיימה ישיבת קדם משפט בהליך קמא במסגרתה הגיעו הצדדים להסכמות בחלק מהסוגיות שבמחלוקת, ובאשר לאלו שלא עלה בידיהם לגבש הסכמות, ניתנה, לאחר הדיון, ההחלטה מושא בקשת רשות הערעור שלפנינו.</w:t>
      </w:r>
    </w:p>
    <w:p w:rsidR="00B02998" w:rsidRDefault="00B02998" w:rsidP="00B02998">
      <w:pPr>
        <w:pStyle w:val="a4"/>
        <w:spacing w:line="360" w:lineRule="auto"/>
        <w:ind w:left="85"/>
        <w:jc w:val="both"/>
        <w:rPr>
          <w:rFonts w:ascii="Arial" w:hAnsi="Arial"/>
          <w:noProof w:val="0"/>
          <w:rtl/>
        </w:rPr>
      </w:pPr>
    </w:p>
    <w:p w:rsidR="00B02998" w:rsidRDefault="00B02998" w:rsidP="00B02998">
      <w:pPr>
        <w:spacing w:line="360" w:lineRule="auto"/>
        <w:ind w:left="84" w:hanging="84"/>
        <w:jc w:val="both"/>
        <w:rPr>
          <w:rFonts w:ascii="Arial" w:hAnsi="Arial"/>
          <w:noProof w:val="0"/>
          <w:rtl/>
        </w:rPr>
      </w:pPr>
      <w:r>
        <w:rPr>
          <w:rFonts w:ascii="Arial" w:hAnsi="Arial"/>
          <w:noProof w:val="0"/>
          <w:rtl/>
        </w:rPr>
        <w:t xml:space="preserve"> הצדדים חלוקים, בין השאר, בעניין מועד הקרע, וזהו למעשה לבה של המחלוקת ביניהם, עת לשיטת המבקש יש לקבעו ביום 16.11.2023, הוא המועד בו נפתח הליך יישוב הסכסוך, בעוד המשיבה, מצדה, טוענת, כי יש לקבוע מועד הקרע ביום 28.03.2024, הוא המועד בו הוגשה על ידה התביעה הרכושית ונפתח ההליך קמא. </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4" w:hanging="142"/>
        <w:jc w:val="both"/>
        <w:rPr>
          <w:rFonts w:ascii="Arial" w:hAnsi="Arial"/>
          <w:b/>
          <w:bCs/>
          <w:noProof w:val="0"/>
          <w:u w:val="single"/>
          <w:rtl/>
        </w:rPr>
      </w:pPr>
      <w:r>
        <w:rPr>
          <w:rFonts w:ascii="Arial" w:hAnsi="Arial"/>
          <w:b/>
          <w:bCs/>
          <w:noProof w:val="0"/>
          <w:u w:val="single"/>
          <w:rtl/>
        </w:rPr>
        <w:t>ההחלטה מושא בקשת רשות הערעור</w:t>
      </w: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כאמור, בית המשפט קמא קבע, כי מועד הקרע הוא יום הגשת התביעה ע"י המשיבה – 28.03.2024, וכך, בין השאר, נומקה ההחלטה: </w:t>
      </w:r>
      <w:r>
        <w:rPr>
          <w:rFonts w:ascii="Arial" w:hAnsi="Arial"/>
          <w:b/>
          <w:bCs/>
          <w:noProof w:val="0"/>
          <w:rtl/>
        </w:rPr>
        <w:t>"... במקרה שבפנינו, אני קובע כי מועד הקרע הינו מועד הגשת התביעה, שכן הבעל עוד הפקיד סכומים בנובמבר 2023 לקופה המשותפת, מדובר במשכורת שנכנסה, דבר המלמד על כך שעדיין אין פירוד פיזי ממשי, העובדה כי הנתבע החזיק את מפתחות הדירה המשותפת, זאת ועוד עם פתיחת יישוב הסכסוך נתקיימו פגישות בין הצדדים ביחידת הסיוע ורק במועד בו הסתיים עיכוב ההליכים הוגשו התביעות בין הצדדים, אפשר לומר כי הליך יישוב הסכסוך במקרה שבפנינו הינו רק פרוזדור שהוליך בסופו של דבר לטרקלין. גם העובדה שהנתבע עזב את דירתם המשותפת של הצדדים בתאריך 21.03.2024, 9 ימים לאחר מכן שכר דירה, מחזקת את העובדה כי יש לקבוע את מועד הקרע במועד הגשת התביעה..."</w:t>
      </w:r>
      <w:r>
        <w:rPr>
          <w:rFonts w:ascii="Arial" w:hAnsi="Arial"/>
          <w:noProof w:val="0"/>
          <w:rtl/>
        </w:rPr>
        <w:t xml:space="preserve">. </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עוד צוין במסגרת ההחלטה, כי מעבר למחלוקת בין הצדדים בעניין מועד הקרע, "מסתתרים אינטרסים נוגדים של הצדדים". ובהינתן הפער בין הכנסות הצדדים ברור, כי למשיבה אינטרס כי ייקבע מועד קרע מרוחק יחסית בזמן, ואילו למבקש אינטרס הפוך.  </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בנוסף נקבע, כי שכר טרחת האקטואר שמונה ע"י בית המשפט, כפוף להצהרתו בדבר העדר ניגוד עניינים, יעמוד על 20,000 ₪ בצירוף מע"מ, וכי הצדדים יישאו בו בחלקים שווים; וניתנו הוראות, כמפורט לעיל, בדבר הנשיאה בהחזרי המשכנתא, בהוצאות החזקת הבית והחובות, תוך הבהרה בהאי לישנא:</w:t>
      </w:r>
    </w:p>
    <w:p w:rsidR="00B02998" w:rsidRDefault="00B02998" w:rsidP="00B02998">
      <w:pPr>
        <w:pStyle w:val="a4"/>
        <w:spacing w:line="360" w:lineRule="auto"/>
        <w:ind w:left="85"/>
        <w:jc w:val="both"/>
        <w:rPr>
          <w:rFonts w:ascii="Arial" w:hAnsi="Arial"/>
          <w:b/>
          <w:bCs/>
          <w:noProof w:val="0"/>
          <w:rtl/>
        </w:rPr>
      </w:pPr>
      <w:r>
        <w:rPr>
          <w:rFonts w:ascii="Arial" w:hAnsi="Arial"/>
          <w:b/>
          <w:bCs/>
          <w:noProof w:val="0"/>
          <w:rtl/>
        </w:rPr>
        <w:t>"למען הסר ספק מובהר בזאת, כי הקביעה לתשלום המשכנתא הוצאות החזקת הבית והחובות ביחס של 35% ע"י האישה ו-65% ע"י הבעל הינה זמנית, עד לקבלת החלטה אחרת ו/או עד לקבלת חווה"ד ע"י האקטואר כך שבהמשך ההליכים בתיק עשויים לחול שינויים בתחשיבים אלו".</w:t>
      </w:r>
    </w:p>
    <w:p w:rsidR="00B02998" w:rsidRDefault="00B02998" w:rsidP="00B02998">
      <w:pPr>
        <w:pStyle w:val="a4"/>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המבקש לא השלים עם אף אחד משלושת רכיבי ההחלטה האמורים והגיש בקשת רשות הערעור שלפנינו, ובד בבד עמה הגיש בקשה לעיכוב ביצוע ההחלטה. </w:t>
      </w:r>
    </w:p>
    <w:p w:rsidR="00B02998" w:rsidRDefault="00B02998" w:rsidP="00B02998">
      <w:pPr>
        <w:rPr>
          <w:rFonts w:ascii="Arial" w:hAnsi="Arial"/>
          <w:noProof w:val="0"/>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בהתאם להחלטה המורה לה לעשות כן, הגישה המשיבה תשובה לבקשת רשות הערעור, ומכאן ההחלטה דנא.  </w:t>
      </w:r>
    </w:p>
    <w:p w:rsidR="00B02998" w:rsidRDefault="00B02998" w:rsidP="00B02998">
      <w:pPr>
        <w:pStyle w:val="a4"/>
        <w:rPr>
          <w:rFonts w:ascii="Arial" w:hAnsi="Arial"/>
          <w:noProof w:val="0"/>
        </w:rPr>
      </w:pPr>
    </w:p>
    <w:p w:rsidR="00B02998" w:rsidRDefault="00B02998" w:rsidP="00B02998">
      <w:pPr>
        <w:pStyle w:val="a4"/>
        <w:spacing w:after="160" w:line="360" w:lineRule="auto"/>
        <w:ind w:left="85" w:hanging="143"/>
        <w:jc w:val="both"/>
        <w:rPr>
          <w:rFonts w:ascii="David" w:eastAsia="Calibri" w:hAnsi="David"/>
          <w:b/>
          <w:bCs/>
          <w:noProof w:val="0"/>
          <w:sz w:val="26"/>
          <w:szCs w:val="26"/>
          <w:u w:val="single"/>
          <w:rtl/>
        </w:rPr>
      </w:pPr>
      <w:r>
        <w:rPr>
          <w:rFonts w:ascii="David" w:eastAsia="Calibri" w:hAnsi="David"/>
          <w:b/>
          <w:bCs/>
          <w:noProof w:val="0"/>
          <w:sz w:val="26"/>
          <w:szCs w:val="26"/>
          <w:u w:val="single"/>
          <w:rtl/>
        </w:rPr>
        <w:t>תמצית טענות הצדדים בהליך שלפנינו</w:t>
      </w:r>
    </w:p>
    <w:p w:rsidR="00B02998" w:rsidRDefault="00B02998" w:rsidP="00B02998">
      <w:pPr>
        <w:pStyle w:val="a4"/>
        <w:ind w:left="85"/>
        <w:jc w:val="both"/>
        <w:rPr>
          <w:rFonts w:ascii="Arial" w:hAnsi="Arial"/>
          <w:b/>
          <w:bCs/>
          <w:noProof w:val="0"/>
          <w:rtl/>
        </w:rPr>
      </w:pPr>
    </w:p>
    <w:p w:rsidR="00B02998" w:rsidRDefault="00B02998" w:rsidP="00B02998">
      <w:pPr>
        <w:pStyle w:val="a4"/>
        <w:spacing w:line="360" w:lineRule="auto"/>
        <w:ind w:left="85"/>
        <w:jc w:val="both"/>
        <w:rPr>
          <w:rFonts w:ascii="Arial" w:hAnsi="Arial"/>
          <w:noProof w:val="0"/>
          <w:rtl/>
        </w:rPr>
      </w:pPr>
      <w:r>
        <w:rPr>
          <w:rFonts w:ascii="Arial" w:hAnsi="Arial"/>
          <w:b/>
          <w:bCs/>
          <w:noProof w:val="0"/>
          <w:rtl/>
        </w:rPr>
        <w:t>לטענת המבקש</w:t>
      </w:r>
      <w:r>
        <w:rPr>
          <w:rFonts w:ascii="Arial" w:hAnsi="Arial"/>
          <w:noProof w:val="0"/>
          <w:rtl/>
        </w:rPr>
        <w:t>, שגה בית המשפט קמא בקבעו את מועד הקרע מבלי שניתן לו יומו בבית המשפט ומבלי שניתנה למי מהצדדים האפשרות לחקור או להציג מסמכים סותרים בנוגע לעובדות שבמחלוקת, הגם שמדובר בעניין מהותי שלו השפעה רחבה על ההליך הרכושי התלוי ועומד בין הצדדים, ומשכך, לשיטתו, הותרת ההחלטה על כנה עלולה לגרום לצדדים נזק בלתי הפיך ויש להתערב בה כבר בשלב זה. עוד נטען על ידו, במישור העובדתי, כי המועד בו עזב את בית הצדדים היה בחודש פברואר 2023 ולא בחודש מרץ 2024 כפי שנקבע; כי משנפתח הליך יישוב הסכסוך בחודש נובמבר אשתקד, הוא פעל לניתוק הקשר הכלכלי בין הצדדים וכבר מחודש דצמבר אשתקד חדל מהפקדת שכרו החודשי בחשבון הבנק המשותף; כי כבר בחודש ינואר 2024 עדכנה אותו המשיבה, כי בכוונתה להציע הבית המשותף למכירה; כי שגה בית המשפט בקבעו, כי עם פתיחת הליך יישוב הסכסוך הייתה למשיבה תקווה לשיקום נישואי הצדדים ולכן אין לראות במועד זה מועד הקרע; כי המשיבה לא עמדה בנטל להוכיח, כי לאחר עזיבת המבקש את הבית המשותף לא נסתם הגולל על נישואי הצדדים; כי במסגרת דיון בהליך הגירושין של הצדדים שהתקיים בחודש יוני השנה, ציין בית הדין הרבני, כי הצדדים חיים בנפרד מזה שנה וחצי והמשיבה מנועה מלטעון אחרת מכוח השתק שיפוטי החל עליה; כי התנהלות המשיבה מצביעה על ההכרה שלה בכך שנישואי הצדדים תמו; ברירת המחדל שבחוק יחסי ממון באשר למועד התגבשותה של הזכות לאיזון משאבים היא מועד פקיעת הנישואין והסטייה ממועד זה תהא בנסיבות מיוחדות. לטענת המבקש, מועד פקיעת הנישואין הוא במועד פתיחת ההליך ליישוב סכסוך, אז חדל להתקיים שיתוף כלכלי בין הצדדים והם ם גם לא נקטו בשום פעולה או ניסיון לאיחוי הקרע ולשיקום נישואיהם.</w:t>
      </w: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לעניין שכר טרחת האקטואר טוען המבקש, כי אמנם רצון הצדדים היה להגביל את שכר טרחתו של האקטואר, ברם שגה בית המשפט בקבעו מראש את שכר הטרחה לפני שהתקבלה הצעת מחיר מהאקטואר וטרם בחינת המסמכים שעל הצדדים להגיש לעיונו לצורך ביצוע מלאכתו. </w:t>
      </w: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ובאשר להחלטה בעניין הנשיאה בהוצאות המשותפות טען המבקש, כי משנפלה שגגה בקביעת מועד הקרע, הנשענת על קביעה שגויה בעניין מועד עזיבת המבקש את הבית המשותף, משליך הדבר באופן מידי גם על ההחלטה בעניין הנשיאה בהוצאות המשותפות ויש להתערב גם בה.  </w:t>
      </w:r>
    </w:p>
    <w:p w:rsidR="00B02998" w:rsidRDefault="00B02998" w:rsidP="00B02998">
      <w:pPr>
        <w:pStyle w:val="a4"/>
        <w:spacing w:line="360" w:lineRule="auto"/>
        <w:ind w:left="85"/>
        <w:jc w:val="both"/>
        <w:rPr>
          <w:rFonts w:ascii="Arial" w:hAnsi="Arial"/>
          <w:noProof w:val="0"/>
        </w:rPr>
      </w:pPr>
      <w:r>
        <w:rPr>
          <w:rFonts w:ascii="Arial" w:hAnsi="Arial"/>
          <w:noProof w:val="0"/>
          <w:rtl/>
        </w:rPr>
        <w:t xml:space="preserve">לפיכך עותר המבקש לקבלת רשות ערעור על ההחלטה, להורות על ביטולה ולקבוע, כי מועד הקרע הוא ביום הגשת הבקשה ליישוב סכסוך (16.11.2023), תוך חיוב המשיבה בהוצאות משפט. </w:t>
      </w:r>
    </w:p>
    <w:p w:rsidR="00B02998" w:rsidRDefault="00B02998" w:rsidP="00B02998">
      <w:pPr>
        <w:pStyle w:val="a4"/>
        <w:ind w:left="1080"/>
        <w:jc w:val="both"/>
        <w:rPr>
          <w:rFonts w:ascii="Arial" w:hAnsi="Arial"/>
          <w:noProof w:val="0"/>
          <w:rtl/>
        </w:rPr>
      </w:pPr>
    </w:p>
    <w:p w:rsidR="00B02998" w:rsidRDefault="00B02998" w:rsidP="00B02998">
      <w:pPr>
        <w:pStyle w:val="a4"/>
        <w:spacing w:after="160" w:line="360" w:lineRule="auto"/>
        <w:ind w:left="85"/>
        <w:jc w:val="both"/>
        <w:rPr>
          <w:rFonts w:ascii="David" w:eastAsia="Calibri" w:hAnsi="David"/>
          <w:noProof w:val="0"/>
          <w:u w:val="single"/>
        </w:rPr>
      </w:pPr>
      <w:r>
        <w:rPr>
          <w:rFonts w:ascii="Arial" w:hAnsi="Arial"/>
          <w:b/>
          <w:bCs/>
          <w:noProof w:val="0"/>
          <w:rtl/>
        </w:rPr>
        <w:t>המשיבה</w:t>
      </w:r>
      <w:r>
        <w:rPr>
          <w:rFonts w:ascii="Arial" w:hAnsi="Arial"/>
          <w:noProof w:val="0"/>
          <w:rtl/>
        </w:rPr>
        <w:t xml:space="preserve"> מצדה טוענת, כי דין הבקשה להידחות על הסף בהעדר הצדקה להתערבות ערכאת הערעור בהחלטה המנומקת של בית המשפט קמא, בפרט נוכח מרחב שיקול הדעת של הערכאה הדיונית בכגון דא; עוד טוענת המשיבה, כי בניגוד לנטען על ידו, ניתן למבקש יומו בבית המשפט, והיו בפני בית המשפט כלל העובדות הרלוונטיות בעת מתן ההחלטה; כי עד לחודש מרץ השנה ניהלו הצדדים משק בית משותף והתנהלו כיחידה כלכלית משותפת, ובתוך כך נשאו במשותף בתשלום ביטוחי הרכב, עשו שימוש בכרטיסי אשראי משותפים, נשאו בתשלום שכר הלימודים של ילדיהם הבגירים במוסדות האקדמאיים, הפקידו שכרם בחשבון הבנק  המשותף, ואף התגוררו </w:t>
      </w:r>
      <w:r>
        <w:rPr>
          <w:rFonts w:ascii="Arial" w:hAnsi="Arial"/>
          <w:noProof w:val="0"/>
          <w:rtl/>
        </w:rPr>
        <w:lastRenderedPageBreak/>
        <w:t xml:space="preserve">תחת קורת גג אחת, והמבקש עצמו טען בכתבי הטענות שלו, כי עזב את הבית המשותף כחודש ימים לפני שהמשיבה הגישה תביעתה; כי הגשת הבקשה ליישוב סכסוך על ידה בחודש נובמבר אשתקד נועדה "לניעור" המבקש, משלכל אורך הנישואין היא עשתה כל שלאל ידה על מנת להגן על שלמות התא המשפחתי ועל נישואי הצדדים, וכי גם לאחר שהוגשה על ידה הבקשה ליישוב סכסוך נעשו ניסיונות הדדיים לשיקום הנישואין והצדדים פעלו בשיתוף פעולה במישור הכלכלי; כי הבקשה הוגשה בחוסר תום לב מוחלט של המבקש, נוכח הימנעותו מקידום ההליך בין הצדדים למרות הפתרונות השונים שהוצעו על ידה במסגרת הדיון מיום 10.09.2024; וכי בהחלטה בעניין הנשיאה בהוצאות המשותפות התחשב בית המשפט במכלול הנסיבות שברקע ההליך, לרבות הפער המשמעותי בין הכנסות הצדדים והצעדים הכלכליים בהם נקט המבקש מאז נפתחו ההליכים המשפטיים, הפוגעים במשיבה ומצרים את צעדיה. בנוסף ציין בית המשפט, כי ההכרעה בעניין זה זמנית עד להגשת חוות הדעת האקטוארית, כשבסופו של יום ייערכו האיזונים על יסוד כלל הנתונים שיובאו לפניו. באשר להכרעה בעניין שכר טרחת האקטואר, הותירה המשיבה סוגיה זו לשיקול דעתו של בית משפט זה. </w:t>
      </w:r>
    </w:p>
    <w:p w:rsidR="00B02998" w:rsidRDefault="00B02998" w:rsidP="00B02998">
      <w:pPr>
        <w:pStyle w:val="a4"/>
        <w:spacing w:after="160" w:line="360" w:lineRule="auto"/>
        <w:ind w:left="85"/>
        <w:jc w:val="both"/>
        <w:rPr>
          <w:rFonts w:ascii="David" w:eastAsia="Calibri" w:hAnsi="David"/>
          <w:noProof w:val="0"/>
          <w:u w:val="single"/>
        </w:rPr>
      </w:pPr>
      <w:r>
        <w:rPr>
          <w:rFonts w:ascii="Arial" w:hAnsi="Arial"/>
          <w:noProof w:val="0"/>
          <w:rtl/>
        </w:rPr>
        <w:t xml:space="preserve">לפיכך טענה המשיבה, כי לא נפלה שגגה בהחלטת בית המשפט קמא ולכן עתרה המשיבה לדחיית הבקשה, תוך חיוב המבקש בהוצאות משפט. </w:t>
      </w:r>
    </w:p>
    <w:p w:rsidR="00B02998" w:rsidRDefault="00B02998" w:rsidP="00B02998">
      <w:pPr>
        <w:pStyle w:val="a4"/>
        <w:spacing w:after="160"/>
        <w:ind w:left="85"/>
        <w:jc w:val="both"/>
        <w:rPr>
          <w:rFonts w:ascii="David" w:eastAsia="Calibri" w:hAnsi="David"/>
          <w:noProof w:val="0"/>
          <w:u w:val="single"/>
        </w:rPr>
      </w:pPr>
    </w:p>
    <w:p w:rsidR="00B02998" w:rsidRDefault="00B02998" w:rsidP="00B02998">
      <w:pPr>
        <w:pStyle w:val="a4"/>
        <w:spacing w:after="160" w:line="360" w:lineRule="auto"/>
        <w:ind w:left="85" w:hanging="143"/>
        <w:jc w:val="both"/>
        <w:rPr>
          <w:rFonts w:ascii="David" w:eastAsia="Calibri" w:hAnsi="David"/>
          <w:b/>
          <w:bCs/>
          <w:noProof w:val="0"/>
          <w:sz w:val="26"/>
          <w:szCs w:val="26"/>
          <w:u w:val="single"/>
        </w:rPr>
      </w:pPr>
      <w:r>
        <w:rPr>
          <w:rFonts w:ascii="David" w:eastAsia="Calibri" w:hAnsi="David"/>
          <w:b/>
          <w:bCs/>
          <w:noProof w:val="0"/>
          <w:sz w:val="26"/>
          <w:szCs w:val="26"/>
          <w:u w:val="single"/>
          <w:rtl/>
        </w:rPr>
        <w:t>דיון והכרעה</w:t>
      </w:r>
    </w:p>
    <w:p w:rsidR="00B02998" w:rsidRDefault="00B02998" w:rsidP="00B02998">
      <w:pPr>
        <w:pStyle w:val="a4"/>
        <w:spacing w:after="160"/>
        <w:jc w:val="both"/>
        <w:rPr>
          <w:rFonts w:ascii="David" w:eastAsia="Calibri" w:hAnsi="David"/>
          <w:b/>
          <w:bCs/>
          <w:noProof w:val="0"/>
          <w:sz w:val="26"/>
          <w:szCs w:val="26"/>
          <w:u w:val="single"/>
        </w:rPr>
      </w:pPr>
    </w:p>
    <w:p w:rsidR="00B02998" w:rsidRDefault="00B02998" w:rsidP="00B02998">
      <w:pPr>
        <w:pStyle w:val="a4"/>
        <w:spacing w:line="360" w:lineRule="auto"/>
        <w:ind w:left="85"/>
        <w:jc w:val="both"/>
        <w:rPr>
          <w:rFonts w:ascii="Arial" w:hAnsi="Arial"/>
          <w:noProof w:val="0"/>
          <w:rtl/>
        </w:rPr>
      </w:pPr>
      <w:r>
        <w:rPr>
          <w:rFonts w:ascii="Arial" w:hAnsi="Arial"/>
          <w:b/>
          <w:bCs/>
          <w:noProof w:val="0"/>
          <w:rtl/>
        </w:rPr>
        <w:t>על יסוד תקנה 138(א)(5) לתקנות סדר הדין האזרחי, תשע"ט-2018 ולאחר עיון באשר מונח לפניי ובתיק המתנהל בבית המשפט קמא, מצאתי לדחות הבקשה על כל ראשיה – כל זאת מהנימוקים שיובאו להלן.</w:t>
      </w:r>
    </w:p>
    <w:p w:rsidR="00B02998" w:rsidRDefault="00B02998" w:rsidP="00B02998">
      <w:pPr>
        <w:pStyle w:val="a4"/>
        <w:ind w:left="786"/>
        <w:jc w:val="both"/>
        <w:rPr>
          <w:rFonts w:ascii="Arial" w:hAnsi="Arial"/>
          <w:b/>
          <w:bCs/>
          <w:noProof w:val="0"/>
        </w:rPr>
      </w:pPr>
    </w:p>
    <w:p w:rsidR="00B02998" w:rsidRDefault="00B02998" w:rsidP="00B02998">
      <w:pPr>
        <w:pStyle w:val="a4"/>
        <w:spacing w:line="360" w:lineRule="auto"/>
        <w:ind w:left="85"/>
        <w:jc w:val="both"/>
        <w:rPr>
          <w:rFonts w:ascii="Arial" w:hAnsi="Arial"/>
          <w:b/>
          <w:bCs/>
          <w:noProof w:val="0"/>
        </w:rPr>
      </w:pPr>
      <w:r>
        <w:rPr>
          <w:rFonts w:ascii="Arial" w:hAnsi="Arial"/>
          <w:noProof w:val="0"/>
          <w:rtl/>
        </w:rPr>
        <w:t xml:space="preserve">ככלל ובהתאם להוראת סעיף 5 לחוק יחסי ממון, המועד הקובע לביצוע איזון המשאבים הוא מועד פקיעת הנישואין. </w:t>
      </w:r>
    </w:p>
    <w:p w:rsidR="00B02998" w:rsidRDefault="00B02998" w:rsidP="00B02998">
      <w:pPr>
        <w:pStyle w:val="a4"/>
        <w:spacing w:line="360" w:lineRule="auto"/>
        <w:ind w:left="85"/>
        <w:jc w:val="both"/>
        <w:rPr>
          <w:rFonts w:ascii="Arial" w:hAnsi="Arial"/>
          <w:noProof w:val="0"/>
          <w:rtl/>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ודוק, המונח פקיעת הנישואין מוגדר בסעיף ומשמעו התרת הנישואין או מוות של מי מבני הזוג חו"ח.</w:t>
      </w:r>
    </w:p>
    <w:p w:rsidR="00B02998" w:rsidRDefault="00B02998" w:rsidP="00B02998">
      <w:pPr>
        <w:pStyle w:val="a4"/>
        <w:rPr>
          <w:rFonts w:ascii="Arial" w:hAnsi="Arial"/>
          <w:b/>
          <w:bCs/>
          <w:noProof w:val="0"/>
        </w:rPr>
      </w:pPr>
    </w:p>
    <w:p w:rsidR="00B02998" w:rsidRDefault="00B02998" w:rsidP="00B02998">
      <w:pPr>
        <w:pStyle w:val="a4"/>
        <w:spacing w:line="360" w:lineRule="auto"/>
        <w:ind w:left="85"/>
        <w:jc w:val="both"/>
        <w:rPr>
          <w:rFonts w:ascii="Arial" w:hAnsi="Arial"/>
          <w:noProof w:val="0"/>
          <w:rtl/>
        </w:rPr>
      </w:pPr>
      <w:r>
        <w:rPr>
          <w:rFonts w:ascii="Arial" w:hAnsi="Arial"/>
          <w:noProof w:val="0"/>
          <w:rtl/>
        </w:rPr>
        <w:t xml:space="preserve">עד לתיקון מס' 4 לחוק (משנת 2008), במסגרתו התווסף לו סעיף 5א, המועד היחיד בו יכולים היו בני זוג לממש את זכותם לאיזון המשאבים היה מועד פקיעת הנישואין. הוספת הסעיף נתנה בידי כל אחד מבני הזוג האפשרות לעתור להקדמת המועד למימוש הזכות לאיזון המשאבים. לצד זאת חשוב להבהיר כבר כעת, כי יש להבחין בין המועד למימוש הזכות לאיזון המשאבים ובין המועד הקובע לצורך עריכת האיזון האמור (מועד הקרע), ואין המדובר בהכרח בנקודות זמן הזהות זו לזו על ציר הזמן. </w:t>
      </w:r>
    </w:p>
    <w:p w:rsidR="00B02998" w:rsidRDefault="00B02998" w:rsidP="00B02998">
      <w:pPr>
        <w:pStyle w:val="a4"/>
        <w:ind w:left="85"/>
        <w:rPr>
          <w:rFonts w:ascii="Arial" w:hAnsi="Arial"/>
          <w:noProof w:val="0"/>
        </w:rPr>
      </w:pPr>
    </w:p>
    <w:p w:rsidR="00B02998" w:rsidRDefault="00B02998" w:rsidP="00B02998">
      <w:pPr>
        <w:pStyle w:val="a4"/>
        <w:spacing w:line="360" w:lineRule="auto"/>
        <w:ind w:left="84"/>
        <w:jc w:val="both"/>
        <w:rPr>
          <w:noProof w:val="0"/>
          <w:rtl/>
        </w:rPr>
      </w:pPr>
      <w:r>
        <w:rPr>
          <w:rtl/>
        </w:rPr>
        <w:t xml:space="preserve">צא ולמד, כי בהתקיים אחד (או יותר) התנאים הקבועים בסעיף 5א לחוק יחסי ממון, זכאי כל אחד מבני הזוג להגיש בקשה להקדמת המועד למימוש הזכות לאיזון משאבים עוד טרם פקעו הנישואין, ובכך לנתק, למעשה, הזיקה בין מימוש זכות זו ובין מועד פקיעת הנישואין. </w:t>
      </w:r>
    </w:p>
    <w:p w:rsidR="00B02998" w:rsidRDefault="00B02998" w:rsidP="00B02998">
      <w:pPr>
        <w:ind w:left="84"/>
        <w:rPr>
          <w:rFonts w:ascii="Arial" w:hAnsi="Arial"/>
          <w:noProof w:val="0"/>
          <w:rtl/>
        </w:rPr>
      </w:pPr>
      <w:r>
        <w:rPr>
          <w:rFonts w:ascii="Arial" w:hAnsi="Arial"/>
          <w:noProof w:val="0"/>
          <w:rtl/>
        </w:rPr>
        <w:t xml:space="preserve">          </w:t>
      </w:r>
      <w:r>
        <w:rPr>
          <w:rFonts w:ascii="Arial" w:hAnsi="Arial"/>
          <w:noProof w:val="0"/>
          <w:rtl/>
        </w:rPr>
        <w:tab/>
      </w: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באשר למועד הקרע - הדעה הרווחת בפסיקה היא, שמדובר בנקודת הזמן אשר בה תמו למעשה יחסי השיתוף בין בני הזוג, וביטוי לכך ניתן למצוא בדברי השופטת נתניהו ב-ע"א 809/90 </w:t>
      </w:r>
      <w:r>
        <w:rPr>
          <w:rFonts w:ascii="Arial" w:hAnsi="Arial"/>
          <w:b/>
          <w:bCs/>
          <w:noProof w:val="0"/>
          <w:rtl/>
        </w:rPr>
        <w:t xml:space="preserve">לידאי </w:t>
      </w:r>
      <w:r>
        <w:rPr>
          <w:rFonts w:ascii="Arial" w:hAnsi="Arial"/>
          <w:b/>
          <w:bCs/>
          <w:noProof w:val="0"/>
          <w:rtl/>
        </w:rPr>
        <w:lastRenderedPageBreak/>
        <w:t>נ' לידאי</w:t>
      </w:r>
      <w:r>
        <w:rPr>
          <w:rFonts w:ascii="Arial" w:hAnsi="Arial"/>
          <w:noProof w:val="0"/>
          <w:rtl/>
        </w:rPr>
        <w:t xml:space="preserve"> פ"ד מו(1) 602, 613: </w:t>
      </w:r>
      <w:r>
        <w:rPr>
          <w:rFonts w:ascii="Arial" w:hAnsi="Arial"/>
          <w:b/>
          <w:bCs/>
          <w:noProof w:val="0"/>
          <w:rtl/>
        </w:rPr>
        <w:t xml:space="preserve">"מועד זה הוא המועד שבו מפסיקים בני הזוג לנהל קופה משותפת ושממנו ואילך הם נוהגים לפי הכלל של "שלי – שלי ושלך – שלך". </w:t>
      </w:r>
    </w:p>
    <w:p w:rsidR="00B02998" w:rsidRDefault="00B02998" w:rsidP="00B02998">
      <w:pPr>
        <w:pStyle w:val="a4"/>
        <w:ind w:left="84"/>
        <w:rPr>
          <w:rFonts w:ascii="Arial" w:hAnsi="Arial"/>
          <w:noProof w:val="0"/>
        </w:rPr>
      </w:pP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עוד הצביעה הפסיקה על אינדיקציות שונות שיש בהן ללמד על הפסקת השיתוף בין בני הזוג והן מוסקות מאירועים שונים, למשל עזיבת אחד הצדדים את בית המגורים המשותף והגשת תביעה ע"י אחד מן הצדדים (ראו למשל: פרשת </w:t>
      </w:r>
      <w:r>
        <w:rPr>
          <w:rFonts w:ascii="Arial" w:hAnsi="Arial"/>
          <w:b/>
          <w:bCs/>
          <w:noProof w:val="0"/>
          <w:rtl/>
        </w:rPr>
        <w:t>לידאי</w:t>
      </w:r>
      <w:r>
        <w:rPr>
          <w:rFonts w:ascii="Arial" w:hAnsi="Arial"/>
          <w:noProof w:val="0"/>
          <w:rtl/>
        </w:rPr>
        <w:t xml:space="preserve"> הנ"ל); בגידה של אחד מבני הזוג (ע"א 246/77 </w:t>
      </w:r>
      <w:r>
        <w:rPr>
          <w:rFonts w:ascii="Arial" w:hAnsi="Arial"/>
          <w:b/>
          <w:bCs/>
          <w:noProof w:val="0"/>
          <w:rtl/>
        </w:rPr>
        <w:t>דרור נ' דרור</w:t>
      </w:r>
      <w:r>
        <w:rPr>
          <w:rFonts w:ascii="Arial" w:hAnsi="Arial"/>
          <w:noProof w:val="0"/>
          <w:rtl/>
        </w:rPr>
        <w:t xml:space="preserve"> פ"ד לב(1) 829; ע"א 343/87 </w:t>
      </w:r>
      <w:r>
        <w:rPr>
          <w:rFonts w:ascii="Arial" w:hAnsi="Arial"/>
          <w:b/>
          <w:bCs/>
          <w:noProof w:val="0"/>
          <w:rtl/>
        </w:rPr>
        <w:t>פרי נ' פרי</w:t>
      </w:r>
      <w:r>
        <w:rPr>
          <w:rFonts w:ascii="Arial" w:hAnsi="Arial"/>
          <w:noProof w:val="0"/>
          <w:rtl/>
        </w:rPr>
        <w:t xml:space="preserve"> פ"ד מד(2) 154) ועוד. </w:t>
      </w:r>
    </w:p>
    <w:p w:rsidR="00B02998" w:rsidRDefault="00B02998" w:rsidP="00B02998">
      <w:pPr>
        <w:pStyle w:val="a4"/>
        <w:rPr>
          <w:rFonts w:ascii="Arial" w:hAnsi="Arial"/>
          <w:noProof w:val="0"/>
        </w:rPr>
      </w:pP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עוד לעניין זה נקבע ב-עמ"ש (חי') 23541-01-17 </w:t>
      </w:r>
      <w:r>
        <w:rPr>
          <w:rFonts w:ascii="Arial" w:hAnsi="Arial"/>
          <w:b/>
          <w:bCs/>
          <w:noProof w:val="0"/>
          <w:rtl/>
        </w:rPr>
        <w:t>פלונית נ' פלוני</w:t>
      </w:r>
      <w:r>
        <w:rPr>
          <w:rFonts w:ascii="Arial" w:hAnsi="Arial"/>
          <w:noProof w:val="0"/>
          <w:rtl/>
        </w:rPr>
        <w:t xml:space="preserve"> (פורסם במאגרים האלקטרוניים), כי הקרע עשוי לבוא לידי ביטוי במספר מישורים: </w:t>
      </w:r>
      <w:r>
        <w:rPr>
          <w:rFonts w:ascii="Arial" w:hAnsi="Arial"/>
          <w:b/>
          <w:bCs/>
          <w:noProof w:val="0"/>
          <w:rtl/>
        </w:rPr>
        <w:t>"קרע פיזי - ובכלל זה יציאה מבית המגורים, הפרדת מגורים, נקיטה בהליכים משפטיים. קרע כלכלי - ובכלל זה הפסקת ניהול משק הבית במשותף. קרע זוגי - ובכלל זה הפרת נאמנות מצד בן הזוג, אלימות בין בני הזוג, הגשת תלונה במשטרה על אלימות ועוד. לבית המשפט שיקול דעת בנדון, בהתאם לנסיבות המקרה שבפניו"</w:t>
      </w:r>
      <w:r>
        <w:rPr>
          <w:rFonts w:ascii="Arial" w:hAnsi="Arial"/>
          <w:noProof w:val="0"/>
          <w:rtl/>
        </w:rPr>
        <w:t>.</w:t>
      </w:r>
    </w:p>
    <w:p w:rsidR="00B02998" w:rsidRDefault="00B02998" w:rsidP="00B02998">
      <w:pPr>
        <w:ind w:left="84"/>
        <w:rPr>
          <w:rFonts w:ascii="Arial" w:hAnsi="Arial"/>
          <w:noProof w:val="0"/>
          <w:rtl/>
        </w:rPr>
      </w:pP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כך או כך, אין המדובר ברשימה סגורה וכל מקרה נבחן לגופו בהתאם לנסיבותיו ולשיקול הדעת של בית המשפט. בתוך כך על בית המשפט לבחון מהו המועד בו חדלו הצדדים לראות עצמם כשותפים הלכה למעשה, ומהי נקודת הזמן בה, דה פקטו, הגיעו הנישואין אל קצם. </w:t>
      </w:r>
    </w:p>
    <w:p w:rsidR="00B02998" w:rsidRDefault="00B02998" w:rsidP="00B02998">
      <w:pPr>
        <w:ind w:left="84"/>
        <w:rPr>
          <w:rFonts w:ascii="Arial" w:hAnsi="Arial"/>
          <w:noProof w:val="0"/>
        </w:rPr>
      </w:pP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כפי שנכתב על ידי ברמ"ש (ב"ש) 10598-04-24 </w:t>
      </w:r>
      <w:r>
        <w:rPr>
          <w:rFonts w:ascii="Arial" w:hAnsi="Arial"/>
          <w:b/>
          <w:bCs/>
          <w:noProof w:val="0"/>
          <w:rtl/>
        </w:rPr>
        <w:t xml:space="preserve">פלונית נ' פלוני </w:t>
      </w:r>
      <w:r>
        <w:rPr>
          <w:rFonts w:ascii="Arial" w:hAnsi="Arial"/>
          <w:noProof w:val="0"/>
          <w:rtl/>
        </w:rPr>
        <w:t xml:space="preserve">(פורסם במאגרים האלקטרוניים), הגם שהחלטה בעניין מועד הקרע, שהיא, כידוע, החלטת ביניים, מעצם טיבה ובהיותה קשורה בטבורה לזכות הקניין של בני הזוג היא החלטה מהותית, נטועה היא בלבת שיקול הדעת של הערכאה הדיונית, ומטבע הדברים מתקבלת על יסוד נסיבותיו הקונקרטיות של המקרה הבא לפניה, ואינה ניצבת בחלל ריק, כי אם קשורה להיבטים נוספים של הסכסוך הזוגי. </w:t>
      </w:r>
    </w:p>
    <w:p w:rsidR="00B02998" w:rsidRDefault="00B02998" w:rsidP="00B02998">
      <w:pPr>
        <w:pStyle w:val="a4"/>
        <w:ind w:left="84"/>
        <w:jc w:val="both"/>
        <w:rPr>
          <w:rFonts w:ascii="Arial" w:hAnsi="Arial"/>
          <w:noProof w:val="0"/>
          <w:rtl/>
        </w:rPr>
      </w:pP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בנוסף, מטבע הדברים, הכרעה בשאלת מועד הקרע מצויה ברובד העובדתי, וככל שנטושה מחלוקת בין הצדדים בעניין זה היא טעונה, מסתמא, בירור עובדתי. הערכאה הדיונית לרוב נדרשת להכרעה בה בשלביו המוקדמים יחסית של ההליך אגב מתן הוראות הנוגעות לאיזון המשאבים, לרבות מינוי מומחים. לערכאה הדיונית מסור, אפוא, שיקול הדעת האם להידרש תחילה לפלוגתא בעניין מועד הקרע, לשמוע ראיות בנוגע לה ולהכריע בה ואז לברר יתר הפלוגתאות, או לחלופין להכריע בה על יסוד המידע שלפניה ולהתקדם הלאה, עת נהיר, כי ככל שיישמעו ראיות בהליך וייקבעו על יסודן ממצאים שיש בהם להשליך על מועד הקרע, רשאית הערכאה הדיונית במסגרת פסק הדין שיינתן על ידה בתום ההליך לשוב ולהידרש לשאלת מועד הקרע, וככל שתמצא לעשות כן אף לקבוע, כי מועד הקרע שונה מזה שנקבע בראשית ההליך ובהתאם אף לתת הוראות אופרטיביות בעניין.    </w:t>
      </w: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מובן, כי הערכאה הדיונית, כמי שאמונה על בירור ההליך, מביאה בחשבון שיקוליה, לצד תכליותיו הקלאסיות של ההליך השיפוטי, גם שיקולי יעילות והשאיפה להכרעה מהירה וצודקת בסכסוך.  </w:t>
      </w: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הנה כי כן, עניין לנו בהחלטה שעל פי טיבה ומהותה מידת ההתערבות של ערכאת הערעור בה  מצומצמת ושמורה למקרים בהם מדובר בהחלטה העומדת בניגוד לדין או כאשר היא עלולה לגרום לעיוות דין.   </w:t>
      </w:r>
    </w:p>
    <w:p w:rsidR="00B02998" w:rsidRDefault="00B02998" w:rsidP="00B02998">
      <w:pPr>
        <w:pStyle w:val="a4"/>
        <w:spacing w:line="360" w:lineRule="auto"/>
        <w:ind w:left="84"/>
        <w:jc w:val="both"/>
        <w:rPr>
          <w:rFonts w:ascii="Arial" w:hAnsi="Arial"/>
          <w:noProof w:val="0"/>
          <w:rtl/>
        </w:rPr>
      </w:pPr>
    </w:p>
    <w:p w:rsidR="00B02998" w:rsidRDefault="00B02998" w:rsidP="00B02998">
      <w:pPr>
        <w:pStyle w:val="a4"/>
        <w:spacing w:line="360" w:lineRule="auto"/>
        <w:ind w:left="84"/>
        <w:jc w:val="both"/>
        <w:rPr>
          <w:rFonts w:ascii="David" w:hAnsi="David"/>
          <w:noProof w:val="0"/>
          <w:rtl/>
        </w:rPr>
      </w:pPr>
      <w:r>
        <w:rPr>
          <w:rFonts w:ascii="Arial" w:hAnsi="Arial"/>
          <w:noProof w:val="0"/>
          <w:rtl/>
        </w:rPr>
        <w:t xml:space="preserve">בנידון דידן ראוי להזכיר, כי מלשון סעיף 52(ב) לחוק בתי המשפט [נוסח משולב) התשמ"ד – 1984 (להלן: </w:t>
      </w:r>
      <w:r>
        <w:rPr>
          <w:rFonts w:ascii="Arial" w:hAnsi="Arial"/>
          <w:b/>
          <w:bCs/>
          <w:noProof w:val="0"/>
          <w:rtl/>
        </w:rPr>
        <w:t>"חוק בתי המשפט"</w:t>
      </w:r>
      <w:r>
        <w:rPr>
          <w:rFonts w:ascii="Arial" w:hAnsi="Arial"/>
          <w:noProof w:val="0"/>
          <w:rtl/>
        </w:rPr>
        <w:t xml:space="preserve">) עולה, כי </w:t>
      </w:r>
      <w:r>
        <w:rPr>
          <w:rFonts w:ascii="David" w:hAnsi="David"/>
          <w:noProof w:val="0"/>
          <w:rtl/>
        </w:rPr>
        <w:t xml:space="preserve">ככלל יידונו השגות הצדדים על "החלטות אחרות" (החלטות </w:t>
      </w:r>
      <w:r>
        <w:rPr>
          <w:rFonts w:ascii="David" w:hAnsi="David"/>
          <w:noProof w:val="0"/>
          <w:rtl/>
        </w:rPr>
        <w:lastRenderedPageBreak/>
        <w:t>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w:t>
      </w:r>
    </w:p>
    <w:p w:rsidR="00B02998" w:rsidRDefault="00B02998" w:rsidP="00B02998">
      <w:pPr>
        <w:pStyle w:val="a4"/>
        <w:spacing w:line="360" w:lineRule="auto"/>
        <w:ind w:left="369"/>
        <w:jc w:val="both"/>
        <w:rPr>
          <w:rFonts w:ascii="Arial" w:hAnsi="Arial"/>
          <w:noProof w:val="0"/>
          <w:rtl/>
        </w:rPr>
      </w:pPr>
      <w:r>
        <w:rPr>
          <w:rFonts w:ascii="David" w:hAnsi="David"/>
          <w:noProof w:val="0"/>
          <w:rtl/>
        </w:rPr>
        <w:t xml:space="preserve"> </w:t>
      </w:r>
    </w:p>
    <w:p w:rsidR="00B02998" w:rsidRDefault="00B02998" w:rsidP="00B02998">
      <w:pPr>
        <w:pStyle w:val="a4"/>
        <w:spacing w:line="360" w:lineRule="auto"/>
        <w:ind w:left="84"/>
        <w:jc w:val="both"/>
        <w:rPr>
          <w:rFonts w:ascii="David" w:hAnsi="David"/>
          <w:noProof w:val="0"/>
        </w:rPr>
      </w:pPr>
      <w:r>
        <w:rPr>
          <w:rFonts w:ascii="Arial" w:hAnsi="Arial"/>
          <w:noProof w:val="0"/>
          <w:rtl/>
        </w:rPr>
        <w:t xml:space="preserve">בפסיקה יושמה הוראת </w:t>
      </w:r>
      <w:r>
        <w:rPr>
          <w:rFonts w:ascii="Arial" w:hAnsi="Arial"/>
          <w:b/>
          <w:bCs/>
          <w:noProof w:val="0"/>
          <w:rtl/>
        </w:rPr>
        <w:t xml:space="preserve">סעיף 41(ב) </w:t>
      </w:r>
      <w:r>
        <w:rPr>
          <w:rFonts w:ascii="Arial" w:hAnsi="Arial"/>
          <w:noProof w:val="0"/>
          <w:rtl/>
        </w:rPr>
        <w:t xml:space="preserve">לחוק בתי המשפט (העוסקת ברשות ערעור על החלטת בית המשפט המחוזי המוגשת בפני בית המשפט העליון, אך בכל הנוגע לתנאים הקבועים בהוראות </w:t>
      </w:r>
      <w:r>
        <w:rPr>
          <w:rFonts w:ascii="Arial" w:hAnsi="Arial"/>
          <w:b/>
          <w:bCs/>
          <w:noProof w:val="0"/>
          <w:rtl/>
        </w:rPr>
        <w:t xml:space="preserve">סעיף 52(ב) </w:t>
      </w:r>
      <w:r>
        <w:rPr>
          <w:rFonts w:ascii="Arial" w:hAnsi="Arial"/>
          <w:noProof w:val="0"/>
          <w:rtl/>
        </w:rPr>
        <w:t>הנ"ל שעל מבקש רשות הערעור לעמוד בהם, הן דומות במתכונתן), כך שנקבע, כי יהיה מקום ליתן רשות ערעור על "החלטה אחרת" רק כאשר בכוחו של המבקש להראות, כי הדיון בערעור עליה נחוץ, על אף שההליך העיקרי טרם הגיע לסיומו</w:t>
      </w:r>
      <w:r>
        <w:rPr>
          <w:rFonts w:ascii="David" w:hAnsi="David"/>
          <w:noProof w:val="0"/>
          <w:rtl/>
        </w:rPr>
        <w:t xml:space="preserve">. </w:t>
      </w:r>
    </w:p>
    <w:p w:rsidR="00B02998" w:rsidRDefault="00B02998" w:rsidP="00B02998">
      <w:pPr>
        <w:pStyle w:val="a4"/>
        <w:spacing w:line="360" w:lineRule="auto"/>
        <w:ind w:left="84"/>
        <w:jc w:val="both"/>
        <w:rPr>
          <w:rFonts w:ascii="Arial" w:hAnsi="Arial"/>
          <w:noProof w:val="0"/>
          <w:rtl/>
        </w:rPr>
      </w:pPr>
      <w:r>
        <w:rPr>
          <w:rFonts w:ascii="Arial" w:hAnsi="Arial"/>
          <w:noProof w:val="0"/>
          <w:rtl/>
        </w:rPr>
        <w:t>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ומקרים בהם ניתן לומר מיד, כי הערכאה המבררת טעתה טעות ברורה עד כי יש לפתוח שערי ערכאת הערעור עוד בטרם ניתן פסק הדין.</w:t>
      </w:r>
    </w:p>
    <w:p w:rsidR="00B02998" w:rsidRDefault="00B02998" w:rsidP="00B02998">
      <w:pPr>
        <w:pStyle w:val="a4"/>
        <w:spacing w:line="360" w:lineRule="auto"/>
        <w:ind w:left="84"/>
        <w:jc w:val="both"/>
        <w:rPr>
          <w:rFonts w:ascii="Arial" w:hAnsi="Arial"/>
          <w:noProof w:val="0"/>
          <w:rtl/>
        </w:rPr>
      </w:pPr>
      <w:r>
        <w:rPr>
          <w:rFonts w:ascii="Arial" w:hAnsi="Arial"/>
          <w:noProof w:val="0"/>
          <w:rtl/>
        </w:rPr>
        <w:t xml:space="preserve">(ראו והשוו לעניין זה - רע"א 6523/19 </w:t>
      </w:r>
      <w:r>
        <w:rPr>
          <w:rFonts w:ascii="Calibri" w:hAnsi="Calibri"/>
          <w:b/>
          <w:bCs/>
          <w:noProof w:val="0"/>
          <w:color w:val="000000"/>
          <w:rtl/>
        </w:rPr>
        <w:t>פלוני נ' מגדל חברה לביטוח בע"מ</w:t>
      </w:r>
      <w:r>
        <w:rPr>
          <w:rFonts w:ascii="Calibri" w:hAnsi="Calibri"/>
          <w:noProof w:val="0"/>
          <w:color w:val="000000"/>
          <w:rtl/>
        </w:rPr>
        <w:t xml:space="preserve">, </w:t>
      </w:r>
      <w:r>
        <w:rPr>
          <w:noProof w:val="0"/>
          <w:sz w:val="22"/>
          <w:rtl/>
        </w:rPr>
        <w:t>פורסם במאגרים האלקטרוניים)</w:t>
      </w:r>
      <w:r>
        <w:rPr>
          <w:rFonts w:ascii="Calibri" w:hAnsi="Calibri"/>
          <w:noProof w:val="0"/>
          <w:color w:val="000000"/>
          <w:rtl/>
        </w:rPr>
        <w:t xml:space="preserve">. </w:t>
      </w:r>
    </w:p>
    <w:p w:rsidR="00B02998" w:rsidRDefault="00B02998" w:rsidP="00B02998">
      <w:pPr>
        <w:pStyle w:val="a4"/>
        <w:spacing w:line="360" w:lineRule="auto"/>
        <w:ind w:left="369"/>
        <w:jc w:val="both"/>
        <w:rPr>
          <w:rFonts w:ascii="Arial" w:hAnsi="Arial"/>
          <w:noProof w:val="0"/>
          <w:rtl/>
        </w:rPr>
      </w:pPr>
    </w:p>
    <w:p w:rsidR="00B02998" w:rsidRDefault="00B02998" w:rsidP="00B02998">
      <w:pPr>
        <w:pStyle w:val="a4"/>
        <w:spacing w:line="360" w:lineRule="auto"/>
        <w:ind w:left="84"/>
        <w:jc w:val="both"/>
        <w:rPr>
          <w:rFonts w:ascii="David" w:eastAsia="Calibri" w:hAnsi="David"/>
          <w:noProof w:val="0"/>
          <w:u w:val="single"/>
          <w:rtl/>
        </w:rPr>
      </w:pPr>
      <w:r>
        <w:rPr>
          <w:rFonts w:ascii="David" w:eastAsia="Calibri" w:hAnsi="David"/>
          <w:noProof w:val="0"/>
          <w:u w:val="single"/>
          <w:rtl/>
        </w:rPr>
        <w:t>ומן הכלל אל הפרט</w:t>
      </w:r>
    </w:p>
    <w:p w:rsidR="00B02998" w:rsidRDefault="00B02998" w:rsidP="00B02998">
      <w:pPr>
        <w:pStyle w:val="a4"/>
        <w:ind w:left="84"/>
        <w:jc w:val="both"/>
        <w:rPr>
          <w:rFonts w:ascii="David" w:eastAsia="Calibri" w:hAnsi="David"/>
          <w:noProof w:val="0"/>
          <w:u w:val="single"/>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ראשית, בהתבוננות על המחלוקת בין הצדדים דרך האספקלריה של מימד הזמן, הרי שיריעת המחלוקת בין הצדדים מצומצמת ומשתרעת על פני כארבעה חודשים בלבד, משהמבקש טוען, כזכור, כי מועד הקרע הוא בחודש נובמבר 2023 ואילו המשיבה טוענת, כי הוא בחודש מרץ 2024.</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ההחלטה נושא דיוננו נשענת, בין השאר, על עובדות שאינן שנויות במחלוקת, הנתמכות בראיות חפציות, ובהן העובדה ששכרו של המבקש עבור חודש נובמבר 2023 הופקד עדיין בחשבון המשותף ועל כך שהמבקש שכר דירה למגוריו ביום 15.03.2024. </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אין חולק גם, כי הליך הגירושין נפתח ע"י המבקש רק בחודש מאי השנה.</w:t>
      </w:r>
    </w:p>
    <w:p w:rsidR="00B02998" w:rsidRDefault="00B02998" w:rsidP="00B02998">
      <w:pPr>
        <w:pStyle w:val="a4"/>
        <w:spacing w:line="360" w:lineRule="auto"/>
        <w:ind w:left="84"/>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איש מהצדדים לא ביקש לחקור במסגרת ישיבת קדם המשפט את הצד שכנגד על גרסתו העובדתית והם הסתפקו בהצגת טיעוניהם בעניין זה בפני בית המשפט.</w:t>
      </w:r>
    </w:p>
    <w:p w:rsidR="00B02998" w:rsidRDefault="00B02998" w:rsidP="00B02998">
      <w:pPr>
        <w:pStyle w:val="a4"/>
        <w:spacing w:line="360" w:lineRule="auto"/>
        <w:ind w:left="84"/>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גם בית המשפט לא ראה לנכון לערוך הבירור העובדתי בעניינים השנויים במחלוקת ונוגעים למועד הקרע.</w:t>
      </w:r>
    </w:p>
    <w:p w:rsidR="00B02998" w:rsidRDefault="00B02998" w:rsidP="00B02998">
      <w:pPr>
        <w:pStyle w:val="a4"/>
        <w:spacing w:line="360" w:lineRule="auto"/>
        <w:ind w:left="84"/>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המבקש סומך ידו גם על אמירה בפרוטוקול הדיון בבית הדין הרבני בלא שצרף את מלוא הפרוטוקול ועת ממילא מדובר באמירה של בית הדין ולא בהחלטה שיפוטית ובה ממצא עובדתי כלשהו, ומכאן שאין בה כדי להטות הכף או להשפיע על מסקנת בית משפט קמא.</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למעלה מן הצורך יובהר גם, כי אין באמירה זו כדי להקים השתק שיפוטי בפני המשיבה, וטענת המבקש בעניין זה אינה ברורה כלל ועיקר.</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  </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lastRenderedPageBreak/>
        <w:t xml:space="preserve">ההחלטה בעניין מועד הקרע ניתנה, אפוא, על יסוד התשתית הראייתית שהונחה בפני בית המשפט והתרשמותו הבלתי אמצעית מן הצדדים, הגם, שכאמור, הם לא נחקרו על גרסותיהם העובדתיות. </w:t>
      </w:r>
    </w:p>
    <w:p w:rsidR="00B02998" w:rsidRDefault="00B02998" w:rsidP="00B02998">
      <w:pPr>
        <w:pStyle w:val="a4"/>
        <w:spacing w:line="360" w:lineRule="auto"/>
        <w:ind w:left="84"/>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בהינתן כל האמור ושעה שעניין לנו, כזכור, בהחלטת ביניים, ולא נסתם הגולל על טענות הצדדים, והם רשאים לשוב ולהעלותן ובשלב המתאים גם להציג ראיות לתמיכה בהן, ומשלא מצאתי כי יש בהחלטה משום עיוות דין או טעות שבחוק ו/או כי הותרתה על כנה עלולה להוביל לניהול שגוי, לא מצאתי הצדקה להתערב בה.</w:t>
      </w:r>
    </w:p>
    <w:p w:rsidR="00B02998" w:rsidRDefault="00B02998" w:rsidP="00B02998">
      <w:pPr>
        <w:pStyle w:val="a4"/>
        <w:spacing w:line="360" w:lineRule="auto"/>
        <w:ind w:left="369"/>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b/>
          <w:bCs/>
          <w:noProof w:val="0"/>
          <w:rtl/>
        </w:rPr>
        <w:t>באשר לקביעת שכר טרחת האקטואר</w:t>
      </w:r>
      <w:r>
        <w:rPr>
          <w:rFonts w:ascii="David" w:eastAsia="Calibri" w:hAnsi="David"/>
          <w:noProof w:val="0"/>
          <w:rtl/>
        </w:rPr>
        <w:t xml:space="preserve"> – בהתאם להוראת תקנה 26 לתקנות בית משפט לענייני משפחה (סדרי דין), תשפ"א-2020, שכרו של מומחה שמונה ע"י בית המשפט יהא בהתאם לשכר המצוין לצד שמו ברשימת המומחים. דא עקא, שרשימת המומחים נכון להיום כוללת מומחים מתחום הפסיכולוגיה והפסיכיאטריה בלבד, ומשכך אין בידי בית המשפט לקבוע שכר המומחה בהתבסס על הרשימה האמורה והשכר הנקוב בה. לפיכך, החלופה הרלוונטית לענייננו קבועה בתקנת משנה 26(ד), המסמיכה את בית המשפט לקבוע שכר טרחת המומחה שמונה על ידו. אכן, ככלל על המומחה להציג הצעת מחיר עבור חוות הדעת שעליו להגיש לבית המשפט בהתאם לכתב המינוי שקיבל ולהיקף העבודה הנדרשת לצורך הכנת חוות הדעת עפ"י הערכתו. </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מעיון בפרוטוקול הדיון בבית המשפט קמא עולה, כי סוגיית זהות האקטואר הועלתה בדיון, וכי הצדדים שואפים לצמצום הוצאותיהם הכרוכות בניהול ההליך ומבקשים להוזיל עלויות ובכלל זה גם עלות חוות הדעת האקטוארית. נראה, אפוא, כי מינוי האקטואר המסוים ע"י בית המשפט באה על רקע הטענות שנשמעו, ונראה גם שבקביעת שכר טרחת האקטואר ביקש בית המשפט קמא להגביל את שכרו מראש.</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 </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בנסיבות האמורות ומשלא מצאתי, כי גובה שכר הטרחה שנקבע הוא בלתי סביר או שיש בקביעתו מראש ע"י בית המשפט קמא משום פגיעה בזכויות הצדדים, ועת עניין לנו בהחלטה דיונית-ניהולית של הערכאה המבררת, שככלל אין דרכה של ערכאת הערעור להתערב ממין אלו, וממילא, לא ברור עדיין האם האקטואר הסכים לקבל עליו המינוי בתנאים האמורים, לא מצאתי, כי יש מקום להתערבות בהחלטה.   </w:t>
      </w:r>
    </w:p>
    <w:p w:rsidR="00B02998" w:rsidRDefault="00B02998" w:rsidP="00B02998">
      <w:pPr>
        <w:pStyle w:val="a4"/>
        <w:spacing w:line="360" w:lineRule="auto"/>
        <w:ind w:left="84"/>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b/>
          <w:bCs/>
          <w:noProof w:val="0"/>
          <w:rtl/>
        </w:rPr>
        <w:t>ובאשר להחלטה בבקשה למתן הוראות</w:t>
      </w:r>
      <w:r>
        <w:rPr>
          <w:rFonts w:ascii="David" w:eastAsia="Calibri" w:hAnsi="David"/>
          <w:noProof w:val="0"/>
          <w:rtl/>
        </w:rPr>
        <w:t xml:space="preserve"> – ברי, כי היא נגזרת מן הקביעה בעניין מועד הקרע, ומכל מקום וכפי שהובהר ע"י בית המשפט קמא, עניין לנו בהחלטה זמנית בלבד, הכפופה עדיין לממצאים שייקבעו בהליך המתנהל לפניו ולהתחשבנות שתיערך בין הצדדים אגב איזון המשאבים. </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משכך, והיות שלא נקבעו יתדות בעניין, ומשאין מחלוקת בדבר הפערים ביכולותיהם הכלכליות של הצדדים וההחלטה ניתנה בטרם נמכר ביתם המשותף ונתקבלה בידיהם תמורת המכר, על כל המשתמע מכך, לא מצאתי כי נפל בה פגם המצדיק התערבות בה בשלב זה של ההליך.  </w:t>
      </w:r>
    </w:p>
    <w:p w:rsidR="00B02998" w:rsidRDefault="00B02998" w:rsidP="00B02998">
      <w:pPr>
        <w:pStyle w:val="a4"/>
        <w:spacing w:line="360" w:lineRule="auto"/>
        <w:ind w:left="84"/>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  </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 xml:space="preserve">על יסוד כל האמור לעיל, הבקשה על כל ראשיה נדחית בזאת. </w:t>
      </w:r>
    </w:p>
    <w:p w:rsidR="00B02998" w:rsidRDefault="00B02998" w:rsidP="00B02998">
      <w:pPr>
        <w:pStyle w:val="a4"/>
        <w:spacing w:line="360" w:lineRule="auto"/>
        <w:ind w:left="84" w:firstLine="142"/>
        <w:jc w:val="both"/>
        <w:rPr>
          <w:rFonts w:ascii="David" w:eastAsia="Calibri" w:hAnsi="David"/>
          <w:noProof w:val="0"/>
          <w:rtl/>
        </w:rPr>
      </w:pP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t>המבקש יישא בהוצאות המשיבה בסך 3,000 ₪ שישולמו לידיה מתוך כספי העירבון.</w:t>
      </w:r>
    </w:p>
    <w:p w:rsidR="00B02998" w:rsidRDefault="00B02998" w:rsidP="00B02998">
      <w:pPr>
        <w:pStyle w:val="a4"/>
        <w:spacing w:line="360" w:lineRule="auto"/>
        <w:ind w:left="84"/>
        <w:jc w:val="both"/>
        <w:rPr>
          <w:rFonts w:ascii="David" w:eastAsia="Calibri" w:hAnsi="David"/>
          <w:noProof w:val="0"/>
          <w:rtl/>
        </w:rPr>
      </w:pPr>
      <w:r>
        <w:rPr>
          <w:rFonts w:ascii="David" w:eastAsia="Calibri" w:hAnsi="David"/>
          <w:noProof w:val="0"/>
          <w:rtl/>
        </w:rPr>
        <w:lastRenderedPageBreak/>
        <w:t xml:space="preserve">יתרת העירבון על פירותיה תוחזר לידי המבקש באמצעות באת כוחו. </w:t>
      </w:r>
    </w:p>
    <w:p w:rsidR="00B02998" w:rsidRDefault="00B02998" w:rsidP="00B02998">
      <w:pPr>
        <w:pStyle w:val="a4"/>
        <w:ind w:left="227"/>
        <w:rPr>
          <w:rFonts w:ascii="David" w:eastAsia="Calibri" w:hAnsi="David"/>
          <w:noProof w:val="0"/>
        </w:rPr>
      </w:pPr>
    </w:p>
    <w:p w:rsidR="00B02998" w:rsidRDefault="00B02998" w:rsidP="00B02998">
      <w:pPr>
        <w:pStyle w:val="a4"/>
        <w:spacing w:line="360" w:lineRule="auto"/>
        <w:ind w:left="227" w:hanging="143"/>
        <w:jc w:val="both"/>
        <w:rPr>
          <w:rFonts w:ascii="David" w:eastAsia="Calibri" w:hAnsi="David"/>
          <w:noProof w:val="0"/>
          <w:rtl/>
        </w:rPr>
      </w:pPr>
      <w:r>
        <w:rPr>
          <w:rFonts w:ascii="David" w:eastAsia="Calibri" w:hAnsi="David"/>
          <w:noProof w:val="0"/>
          <w:rtl/>
        </w:rPr>
        <w:t xml:space="preserve">ההחלטה ניתנת לפרסום תוך השמטת שמות הצדדים ופרטים מזהים נוספים. </w:t>
      </w:r>
    </w:p>
    <w:p w:rsidR="00B02998" w:rsidRDefault="00B02998" w:rsidP="00B02998">
      <w:pPr>
        <w:ind w:left="227" w:hanging="143"/>
        <w:jc w:val="both"/>
        <w:rPr>
          <w:rFonts w:ascii="David" w:eastAsia="Calibri" w:hAnsi="David"/>
          <w:noProof w:val="0"/>
        </w:rPr>
      </w:pPr>
    </w:p>
    <w:p w:rsidR="00B02998" w:rsidRDefault="00B02998" w:rsidP="00B02998">
      <w:pPr>
        <w:pStyle w:val="a4"/>
        <w:spacing w:line="360" w:lineRule="auto"/>
        <w:ind w:left="227" w:hanging="143"/>
        <w:jc w:val="both"/>
        <w:rPr>
          <w:rFonts w:ascii="Arial" w:hAnsi="Arial"/>
          <w:noProof w:val="0"/>
          <w:rtl/>
        </w:rPr>
      </w:pPr>
      <w:r>
        <w:rPr>
          <w:rFonts w:ascii="Arial" w:hAnsi="Arial"/>
          <w:noProof w:val="0"/>
          <w:rtl/>
        </w:rPr>
        <w:t>המזכירות תמציא ההחלטה לצדדים ותסגור התיק.</w:t>
      </w:r>
    </w:p>
    <w:p w:rsidR="00B02998" w:rsidRDefault="00B02998" w:rsidP="00B02998">
      <w:pPr>
        <w:ind w:hanging="143"/>
      </w:pPr>
    </w:p>
    <w:p w:rsidR="00B02998" w:rsidRPr="00B95D6E" w:rsidRDefault="00B02998" w:rsidP="00B02998">
      <w:pPr>
        <w:spacing w:line="360" w:lineRule="auto"/>
        <w:jc w:val="both"/>
        <w:rPr>
          <w:rFonts w:ascii="Arial" w:hAnsi="Arial"/>
          <w:noProof w:val="0"/>
          <w:rtl/>
        </w:rPr>
      </w:pPr>
    </w:p>
    <w:p w:rsidR="00B02998" w:rsidRPr="00B95D6E" w:rsidRDefault="00B02998" w:rsidP="00B02998">
      <w:pPr>
        <w:spacing w:line="360" w:lineRule="auto"/>
        <w:jc w:val="both"/>
        <w:rPr>
          <w:rFonts w:ascii="Arial" w:hAnsi="Arial"/>
          <w:noProof w:val="0"/>
          <w:rtl/>
        </w:rPr>
      </w:pPr>
    </w:p>
    <w:p w:rsidR="00B02998" w:rsidRPr="00B95D6E" w:rsidRDefault="00B02998" w:rsidP="00B02998">
      <w:pPr>
        <w:spacing w:line="360" w:lineRule="auto"/>
        <w:jc w:val="both"/>
        <w:rPr>
          <w:rFonts w:ascii="Arial" w:hAnsi="Arial"/>
          <w:noProof w:val="0"/>
          <w:rtl/>
        </w:rPr>
      </w:pPr>
    </w:p>
    <w:p w:rsidR="00B02998" w:rsidRPr="00B95D6E" w:rsidRDefault="00B02998" w:rsidP="00B02998">
      <w:pPr>
        <w:spacing w:line="360" w:lineRule="auto"/>
        <w:jc w:val="both"/>
        <w:rPr>
          <w:rFonts w:ascii="Arial" w:hAnsi="Arial"/>
          <w:noProof w:val="0"/>
          <w:rtl/>
        </w:rPr>
      </w:pPr>
    </w:p>
    <w:p w:rsidR="00B02998" w:rsidRDefault="00B02998" w:rsidP="00B0299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דצמבר 2024</w:t>
          </w:r>
        </w:sdtContent>
      </w:sdt>
      <w:r>
        <w:rPr>
          <w:rFonts w:ascii="Arial" w:hAnsi="Arial"/>
          <w:noProof w:val="0"/>
          <w:rtl/>
        </w:rPr>
        <w:t>, בהעדר הצדדים.</w:t>
      </w:r>
    </w:p>
    <w:p w:rsidR="00B02998" w:rsidRDefault="00ED467C" w:rsidP="00B02998">
      <w:pPr>
        <w:tabs>
          <w:tab w:val="left" w:pos="2553"/>
        </w:tabs>
        <w:ind w:left="5040"/>
        <w:rPr>
          <w:rtl/>
        </w:rPr>
      </w:pPr>
      <w:sdt>
        <w:sdtPr>
          <w:rPr>
            <w:rFonts w:hint="cs"/>
            <w:rtl/>
          </w:rPr>
          <w:alias w:val="2045"/>
          <w:tag w:val="2045"/>
          <w:id w:val="740689340"/>
          <w:placeholder>
            <w:docPart w:val="6EA78975E16C4E538980610115DC7772"/>
          </w:placeholder>
          <w:showingPlcHdr/>
          <w:text w:multiLine="1"/>
        </w:sdtPr>
        <w:sdtEndPr/>
        <w:sdtContent>
          <w:r w:rsidR="00B02998">
            <w:rPr>
              <w:rFonts w:hint="cs"/>
              <w:rtl/>
            </w:rPr>
            <w:t xml:space="preserve">     </w:t>
          </w:r>
        </w:sdtContent>
      </w:sdt>
    </w:p>
    <w:p w:rsidR="00B02998" w:rsidRDefault="00B02998" w:rsidP="00B02998">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47339234"/>
        </w:sdtPr>
        <w:sdtEndPr/>
        <w:sdtContent>
          <w:r>
            <w:drawing>
              <wp:inline distT="0" distB="0" distL="0" distR="0" wp14:anchorId="0C4A0A02" wp14:editId="0F6E95EB">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1047750"/>
                        </a:xfrm>
                        <a:prstGeom prst="rect">
                          <a:avLst/>
                        </a:prstGeom>
                      </pic:spPr>
                    </pic:pic>
                  </a:graphicData>
                </a:graphic>
              </wp:inline>
            </w:drawing>
          </w:r>
        </w:sdtContent>
      </w:sdt>
    </w:p>
    <w:p w:rsidR="00B02998" w:rsidRDefault="00B02998" w:rsidP="00B02998">
      <w:pPr>
        <w:tabs>
          <w:tab w:val="left" w:pos="2553"/>
        </w:tabs>
        <w:rPr>
          <w:rFonts w:ascii="Arial" w:hAnsi="Arial"/>
          <w:noProof w:val="0"/>
          <w:rtl/>
        </w:rPr>
      </w:pPr>
    </w:p>
    <w:p w:rsidR="00BA4595" w:rsidRDefault="00BA4595"/>
    <w:sectPr w:rsidR="00BA4595" w:rsidSect="009C56FC">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67C" w:rsidRDefault="00ED467C" w:rsidP="00AC6E33">
      <w:r>
        <w:separator/>
      </w:r>
    </w:p>
  </w:endnote>
  <w:endnote w:type="continuationSeparator" w:id="0">
    <w:p w:rsidR="00ED467C" w:rsidRDefault="00ED467C" w:rsidP="00AC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6101962"/>
      <w:docPartObj>
        <w:docPartGallery w:val="Page Numbers (Bottom of Page)"/>
        <w:docPartUnique/>
      </w:docPartObj>
    </w:sdtPr>
    <w:sdtEndPr/>
    <w:sdtContent>
      <w:p w:rsidR="00AC6E33" w:rsidRDefault="00AC6E33">
        <w:pPr>
          <w:pStyle w:val="a7"/>
          <w:jc w:val="center"/>
          <w:rPr>
            <w:rtl/>
            <w:cs/>
          </w:rPr>
        </w:pPr>
        <w:r>
          <w:fldChar w:fldCharType="begin"/>
        </w:r>
        <w:r>
          <w:rPr>
            <w:rtl/>
            <w:cs/>
          </w:rPr>
          <w:instrText>PAGE   \* MERGEFORMAT</w:instrText>
        </w:r>
        <w:r>
          <w:fldChar w:fldCharType="separate"/>
        </w:r>
        <w:r w:rsidR="004533B8" w:rsidRPr="004533B8">
          <w:rPr>
            <w:rtl/>
            <w:lang w:val="he-IL"/>
          </w:rPr>
          <w:t>1</w:t>
        </w:r>
        <w:r>
          <w:fldChar w:fldCharType="end"/>
        </w:r>
      </w:p>
    </w:sdtContent>
  </w:sdt>
  <w:p w:rsidR="00AC6E33" w:rsidRDefault="00AC6E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67C" w:rsidRDefault="00ED467C" w:rsidP="00AC6E33">
      <w:r>
        <w:separator/>
      </w:r>
    </w:p>
  </w:footnote>
  <w:footnote w:type="continuationSeparator" w:id="0">
    <w:p w:rsidR="00ED467C" w:rsidRDefault="00ED467C" w:rsidP="00AC6E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998"/>
    <w:rsid w:val="000924D1"/>
    <w:rsid w:val="001D01D3"/>
    <w:rsid w:val="004533B8"/>
    <w:rsid w:val="009C56FC"/>
    <w:rsid w:val="00AC6E33"/>
    <w:rsid w:val="00B02998"/>
    <w:rsid w:val="00BA4595"/>
    <w:rsid w:val="00C97597"/>
    <w:rsid w:val="00DA1814"/>
    <w:rsid w:val="00ED467C"/>
    <w:rsid w:val="00FB36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AE0805-563C-42E5-85A0-A01CC63A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99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0299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02998"/>
    <w:pPr>
      <w:ind w:left="720"/>
      <w:contextualSpacing/>
    </w:pPr>
  </w:style>
  <w:style w:type="paragraph" w:styleId="a5">
    <w:name w:val="header"/>
    <w:basedOn w:val="a"/>
    <w:link w:val="a6"/>
    <w:uiPriority w:val="99"/>
    <w:unhideWhenUsed/>
    <w:rsid w:val="00AC6E33"/>
    <w:pPr>
      <w:tabs>
        <w:tab w:val="center" w:pos="4153"/>
        <w:tab w:val="right" w:pos="8306"/>
      </w:tabs>
    </w:pPr>
  </w:style>
  <w:style w:type="character" w:customStyle="1" w:styleId="a6">
    <w:name w:val="כותרת עליונה תו"/>
    <w:basedOn w:val="a0"/>
    <w:link w:val="a5"/>
    <w:uiPriority w:val="99"/>
    <w:rsid w:val="00AC6E33"/>
    <w:rPr>
      <w:rFonts w:ascii="Times New Roman" w:eastAsia="Times New Roman" w:hAnsi="Times New Roman" w:cs="David"/>
      <w:noProof/>
      <w:sz w:val="24"/>
      <w:szCs w:val="24"/>
    </w:rPr>
  </w:style>
  <w:style w:type="paragraph" w:styleId="a7">
    <w:name w:val="footer"/>
    <w:basedOn w:val="a"/>
    <w:link w:val="a8"/>
    <w:uiPriority w:val="99"/>
    <w:unhideWhenUsed/>
    <w:rsid w:val="00AC6E33"/>
    <w:pPr>
      <w:tabs>
        <w:tab w:val="center" w:pos="4153"/>
        <w:tab w:val="right" w:pos="8306"/>
      </w:tabs>
    </w:pPr>
  </w:style>
  <w:style w:type="character" w:customStyle="1" w:styleId="a8">
    <w:name w:val="כותרת תחתונה תו"/>
    <w:basedOn w:val="a0"/>
    <w:link w:val="a7"/>
    <w:uiPriority w:val="99"/>
    <w:rsid w:val="00AC6E33"/>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D57B666A1443F9A21154945625748B"/>
        <w:category>
          <w:name w:val="כללי"/>
          <w:gallery w:val="placeholder"/>
        </w:category>
        <w:types>
          <w:type w:val="bbPlcHdr"/>
        </w:types>
        <w:behaviors>
          <w:behavior w:val="content"/>
        </w:behaviors>
        <w:guid w:val="{2ED89BD1-07C4-45AA-B5FF-9E23E5C42699}"/>
      </w:docPartPr>
      <w:docPartBody>
        <w:p w:rsidR="008D582C" w:rsidRDefault="00EC42C9" w:rsidP="00EC42C9">
          <w:pPr>
            <w:pStyle w:val="60D57B666A1443F9A21154945625748B"/>
          </w:pPr>
          <w:r>
            <w:rPr>
              <w:rFonts w:ascii="Arial" w:hAnsi="Arial"/>
              <w:b/>
              <w:bCs/>
              <w:sz w:val="26"/>
              <w:szCs w:val="26"/>
              <w:rtl/>
            </w:rPr>
            <w:t>שם צד א' ללא שם של חסוי</w:t>
          </w:r>
        </w:p>
      </w:docPartBody>
    </w:docPart>
    <w:docPart>
      <w:docPartPr>
        <w:name w:val="391CB0C0F1DB46FB91FBB9F0CCCC39C5"/>
        <w:category>
          <w:name w:val="כללי"/>
          <w:gallery w:val="placeholder"/>
        </w:category>
        <w:types>
          <w:type w:val="bbPlcHdr"/>
        </w:types>
        <w:behaviors>
          <w:behavior w:val="content"/>
        </w:behaviors>
        <w:guid w:val="{F0815CDE-C6A6-4E76-A451-392FA1C16BAA}"/>
      </w:docPartPr>
      <w:docPartBody>
        <w:p w:rsidR="008D582C" w:rsidRDefault="00EC42C9" w:rsidP="00EC42C9">
          <w:pPr>
            <w:pStyle w:val="391CB0C0F1DB46FB91FBB9F0CCCC39C5"/>
          </w:pPr>
          <w:r>
            <w:rPr>
              <w:rFonts w:ascii="Arial" w:hAnsi="Arial"/>
              <w:b/>
              <w:bCs/>
              <w:sz w:val="26"/>
              <w:szCs w:val="26"/>
              <w:rtl/>
            </w:rPr>
            <w:t>שם צד ב' ללא שם של חסוי</w:t>
          </w:r>
        </w:p>
      </w:docPartBody>
    </w:docPart>
    <w:docPart>
      <w:docPartPr>
        <w:name w:val="6EA78975E16C4E538980610115DC7772"/>
        <w:category>
          <w:name w:val="כללי"/>
          <w:gallery w:val="placeholder"/>
        </w:category>
        <w:types>
          <w:type w:val="bbPlcHdr"/>
        </w:types>
        <w:behaviors>
          <w:behavior w:val="content"/>
        </w:behaviors>
        <w:guid w:val="{65E0F440-E2ED-4CDD-BC2C-F44ED9BCCE6F}"/>
      </w:docPartPr>
      <w:docPartBody>
        <w:p w:rsidR="008D582C" w:rsidRDefault="00EC42C9" w:rsidP="00EC42C9">
          <w:pPr>
            <w:pStyle w:val="6EA78975E16C4E538980610115DC7772"/>
          </w:pPr>
          <w:r>
            <w:rPr>
              <w:rFonts w:hint="cs"/>
              <w:rtl/>
            </w:rPr>
            <w:t xml:space="preserve">     </w:t>
          </w:r>
        </w:p>
      </w:docPartBody>
    </w:docPart>
    <w:docPart>
      <w:docPartPr>
        <w:name w:val="B68C5AB0224C47D79F857DEF98CD55EE"/>
        <w:category>
          <w:name w:val="כללי"/>
          <w:gallery w:val="placeholder"/>
        </w:category>
        <w:types>
          <w:type w:val="bbPlcHdr"/>
        </w:types>
        <w:behaviors>
          <w:behavior w:val="content"/>
        </w:behaviors>
        <w:guid w:val="{FAA3DBE6-0334-4926-ABA3-69BF353594FB}"/>
      </w:docPartPr>
      <w:docPartBody>
        <w:p w:rsidR="008D582C" w:rsidRDefault="00EC42C9" w:rsidP="00EC42C9">
          <w:pPr>
            <w:pStyle w:val="B68C5AB0224C47D79F857DEF98CD55EE"/>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C9"/>
    <w:rsid w:val="003F3337"/>
    <w:rsid w:val="008D582C"/>
    <w:rsid w:val="008D7FF7"/>
    <w:rsid w:val="00B13FCB"/>
    <w:rsid w:val="00EC42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0D57B666A1443F9A21154945625748B">
    <w:name w:val="60D57B666A1443F9A21154945625748B"/>
    <w:rsid w:val="00EC42C9"/>
    <w:pPr>
      <w:bidi/>
    </w:pPr>
  </w:style>
  <w:style w:type="paragraph" w:customStyle="1" w:styleId="391CB0C0F1DB46FB91FBB9F0CCCC39C5">
    <w:name w:val="391CB0C0F1DB46FB91FBB9F0CCCC39C5"/>
    <w:rsid w:val="00EC42C9"/>
    <w:pPr>
      <w:bidi/>
    </w:pPr>
  </w:style>
  <w:style w:type="paragraph" w:customStyle="1" w:styleId="6EA78975E16C4E538980610115DC7772">
    <w:name w:val="6EA78975E16C4E538980610115DC7772"/>
    <w:rsid w:val="00EC42C9"/>
    <w:pPr>
      <w:bidi/>
    </w:pPr>
  </w:style>
  <w:style w:type="paragraph" w:customStyle="1" w:styleId="B68C5AB0224C47D79F857DEF98CD55EE">
    <w:name w:val="B68C5AB0224C47D79F857DEF98CD55EE"/>
    <w:rsid w:val="00EC42C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2721</Words>
  <Characters>13609</Characters>
  <Application>Microsoft Office Word</Application>
  <DocSecurity>0</DocSecurity>
  <Lines>113</Lines>
  <Paragraphs>32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2025-01-02T07:38:00Z</dcterms:created>
  <dcterms:modified xsi:type="dcterms:W3CDTF">2025-01-02T07:38:00Z</dcterms:modified>
</cp:coreProperties>
</file>